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2C0F" w14:textId="77777777" w:rsidR="00276D3D" w:rsidRDefault="00276D3D" w:rsidP="008D0EA1">
      <w:pPr>
        <w:pStyle w:val="Titolo4"/>
        <w:rPr>
          <w:rFonts w:ascii="Arial" w:hAnsi="Arial" w:cs="Arial"/>
          <w:smallCaps/>
          <w:color w:val="000000"/>
          <w:sz w:val="28"/>
          <w:szCs w:val="28"/>
          <w:lang w:val="en-US"/>
        </w:rPr>
      </w:pPr>
    </w:p>
    <w:p w14:paraId="4FE22C10" w14:textId="1414C4D7" w:rsidR="008D0EA1" w:rsidRPr="00677BB1" w:rsidRDefault="00A80D0E" w:rsidP="008D0EA1">
      <w:pPr>
        <w:pStyle w:val="Titolo4"/>
        <w:rPr>
          <w:rFonts w:ascii="Arial" w:hAnsi="Arial" w:cs="Arial"/>
          <w:smallCaps/>
          <w:sz w:val="28"/>
          <w:szCs w:val="28"/>
          <w:lang w:val="en-US"/>
        </w:rPr>
      </w:pPr>
      <w:r w:rsidRPr="0005473A">
        <w:rPr>
          <w:rFonts w:ascii="Arial" w:hAnsi="Arial" w:cs="Arial"/>
          <w:sz w:val="28"/>
          <w:szCs w:val="28"/>
          <w:lang w:val="en-US"/>
        </w:rPr>
        <w:t>Unraveling The Function Of GLRX3 Domains In The Maturation Of Human Cytosolic Fe-S Proteins</w:t>
      </w:r>
    </w:p>
    <w:p w14:paraId="4FE22C11" w14:textId="77777777" w:rsidR="00866CCB" w:rsidRPr="00866CCB" w:rsidRDefault="00866CCB" w:rsidP="00866CC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06DC54" w14:textId="77777777" w:rsidR="00A80D0E" w:rsidRPr="00274CA4" w:rsidRDefault="00A80D0E" w:rsidP="00A80D0E">
      <w:pPr>
        <w:pStyle w:val="Titolo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iCs/>
          <w:color w:val="000000"/>
          <w:sz w:val="22"/>
          <w:szCs w:val="22"/>
          <w:u w:val="single"/>
        </w:rPr>
        <w:t>Rosanna Cuccaro</w:t>
      </w:r>
      <w:r w:rsidRPr="00685C18">
        <w:rPr>
          <w:rFonts w:ascii="Arial" w:hAnsi="Arial" w:cs="Arial"/>
          <w:b w:val="0"/>
          <w:iCs/>
          <w:color w:val="000000"/>
          <w:sz w:val="22"/>
          <w:szCs w:val="22"/>
          <w:vertAlign w:val="superscript"/>
        </w:rPr>
        <w:t>1</w:t>
      </w:r>
      <w:r w:rsidRPr="00685C18">
        <w:rPr>
          <w:rFonts w:ascii="Arial" w:hAnsi="Arial" w:cs="Arial"/>
          <w:b w:val="0"/>
          <w:iCs/>
          <w:color w:val="000000"/>
          <w:sz w:val="22"/>
          <w:szCs w:val="22"/>
        </w:rPr>
        <w:t>, Francesca Camponesch</w:t>
      </w:r>
      <w:r>
        <w:rPr>
          <w:rFonts w:ascii="Arial" w:hAnsi="Arial" w:cs="Arial"/>
          <w:b w:val="0"/>
          <w:iCs/>
          <w:color w:val="000000"/>
          <w:sz w:val="22"/>
          <w:szCs w:val="22"/>
        </w:rPr>
        <w:t>i</w:t>
      </w:r>
      <w:r>
        <w:rPr>
          <w:rFonts w:ascii="Arial" w:hAnsi="Arial" w:cs="Arial"/>
          <w:b w:val="0"/>
          <w:iCs/>
          <w:color w:val="000000"/>
          <w:sz w:val="22"/>
          <w:szCs w:val="22"/>
          <w:vertAlign w:val="superscript"/>
        </w:rPr>
        <w:t>1,2,3</w:t>
      </w:r>
      <w:r w:rsidRPr="00685C18">
        <w:rPr>
          <w:rFonts w:ascii="Arial" w:hAnsi="Arial" w:cs="Arial"/>
          <w:b w:val="0"/>
          <w:i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 w:val="0"/>
          <w:iCs/>
          <w:color w:val="000000"/>
          <w:sz w:val="22"/>
          <w:szCs w:val="22"/>
        </w:rPr>
        <w:t>Lucia Banci</w:t>
      </w:r>
      <w:r>
        <w:rPr>
          <w:rFonts w:ascii="Arial" w:hAnsi="Arial" w:cs="Arial"/>
          <w:b w:val="0"/>
          <w:iCs/>
          <w:color w:val="000000"/>
          <w:sz w:val="22"/>
          <w:szCs w:val="22"/>
          <w:vertAlign w:val="superscript"/>
        </w:rPr>
        <w:t>1,2,3</w:t>
      </w:r>
    </w:p>
    <w:p w14:paraId="02EECA92" w14:textId="77777777" w:rsidR="00A80D0E" w:rsidRPr="00274CA4" w:rsidRDefault="00A80D0E" w:rsidP="00A80D0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</w:pP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vertAlign w:val="superscript"/>
          <w:lang w:val="it-IT" w:eastAsia="it-IT"/>
        </w:rPr>
        <w:t>1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 xml:space="preserve"> </w:t>
      </w:r>
      <w:r w:rsidRPr="00274CA4">
        <w:rPr>
          <w:rFonts w:ascii="Arial" w:hAnsi="Arial" w:cs="Arial"/>
          <w:i/>
          <w:iCs/>
          <w:sz w:val="20"/>
          <w:szCs w:val="20"/>
          <w:lang w:val="it-IT"/>
        </w:rPr>
        <w:t>Magnetic Resonance Center CERM, University of Florence, Via L. Sacconi 6, 50019 Sesto Fiorentino, Florence, Italy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 xml:space="preserve">; 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vertAlign w:val="superscript"/>
          <w:lang w:val="it-IT" w:eastAsia="it-IT"/>
        </w:rPr>
        <w:t>2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 xml:space="preserve"> </w:t>
      </w:r>
      <w:r w:rsidRPr="00274CA4">
        <w:rPr>
          <w:rFonts w:ascii="Arial" w:hAnsi="Arial" w:cs="Arial"/>
          <w:i/>
          <w:iCs/>
          <w:sz w:val="20"/>
          <w:szCs w:val="20"/>
          <w:lang w:val="it-IT"/>
        </w:rPr>
        <w:t>Consorzio Interuniversitario Risonanze Magnetiche di Metalloproteine (CIRMMP), Via L. Sacconi 6, 50019 Sesto Fiorentino, Florence, Italy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 xml:space="preserve">; 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vertAlign w:val="superscript"/>
          <w:lang w:val="it-IT" w:eastAsia="it-IT"/>
        </w:rPr>
        <w:t>3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 xml:space="preserve"> </w:t>
      </w:r>
      <w:r w:rsidRPr="00274CA4">
        <w:rPr>
          <w:rFonts w:ascii="Arial" w:hAnsi="Arial" w:cs="Arial"/>
          <w:i/>
          <w:iCs/>
          <w:sz w:val="20"/>
          <w:szCs w:val="20"/>
          <w:lang w:val="it-IT"/>
        </w:rPr>
        <w:t>Department of Chemistry, University of Florence, Via della Lastruccia 3, 50019 Sesto Fiorentino, Florence, Italy</w:t>
      </w:r>
      <w:r w:rsidRPr="00274CA4"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  <w:t>.</w:t>
      </w:r>
    </w:p>
    <w:p w14:paraId="4FE22C14" w14:textId="77777777" w:rsidR="008D0EA1" w:rsidRPr="0005473A" w:rsidRDefault="008D0EA1" w:rsidP="008D0E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it-IT" w:eastAsia="it-IT"/>
        </w:rPr>
      </w:pPr>
    </w:p>
    <w:p w14:paraId="10A589C5" w14:textId="77777777" w:rsidR="00A80D0E" w:rsidRPr="008D0EA1" w:rsidRDefault="00A80D0E" w:rsidP="00A80D0E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i/>
          <w:iCs/>
          <w:color w:val="000000"/>
          <w:lang w:eastAsia="it-IT"/>
        </w:rPr>
        <w:t>rosanna.cuccaro@unifi.it</w:t>
      </w:r>
    </w:p>
    <w:p w14:paraId="4FE22C16" w14:textId="77777777" w:rsidR="00866CCB" w:rsidRPr="00866CCB" w:rsidRDefault="00866CCB" w:rsidP="00866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484B70" w14:textId="349940F6" w:rsidR="00A80D0E" w:rsidRPr="00A80D0E" w:rsidRDefault="00A80D0E" w:rsidP="00A80D0E">
      <w:pPr>
        <w:spacing w:after="0"/>
        <w:jc w:val="both"/>
        <w:rPr>
          <w:rFonts w:ascii="Arial" w:hAnsi="Arial" w:cs="Arial"/>
        </w:rPr>
      </w:pPr>
      <w:r w:rsidRPr="00A80D0E">
        <w:rPr>
          <w:rFonts w:ascii="Arial" w:hAnsi="Arial" w:cs="Arial"/>
        </w:rPr>
        <w:t xml:space="preserve">Iron-sulfur ([Fe-S]) proteins play essential roles in numerous cellular processes, and their assembly requires complex protein systems. In eukaryotic cells, the cytosolic iron-sulfur (Fe-S) protein assembly (CIA) machinery is responsible for the maturation of cytosolic [Fe-S] proteins [1][2]. Although the components of this pathway are largely characterized, the specific function of human cytosolic </w:t>
      </w:r>
      <w:proofErr w:type="spellStart"/>
      <w:r w:rsidRPr="00A80D0E">
        <w:rPr>
          <w:rFonts w:ascii="Arial" w:hAnsi="Arial" w:cs="Arial"/>
        </w:rPr>
        <w:t>glutaredoxin</w:t>
      </w:r>
      <w:proofErr w:type="spellEnd"/>
      <w:r w:rsidRPr="00A80D0E">
        <w:rPr>
          <w:rFonts w:ascii="Arial" w:hAnsi="Arial" w:cs="Arial"/>
        </w:rPr>
        <w:t xml:space="preserve"> 3 (GLRX3) remains under investigation, particularly concerning its role in the formation of [4Fe-4S] clusters in cytosolic proteins [3]. GLRX3 operates as a homodimer that coordinates two [2Fe-2S] clusters, which can be transferred </w:t>
      </w:r>
      <w:r w:rsidRPr="00A80D0E">
        <w:rPr>
          <w:rFonts w:ascii="Arial" w:hAnsi="Arial" w:cs="Arial"/>
          <w:i/>
          <w:iCs/>
        </w:rPr>
        <w:t>in vitro</w:t>
      </w:r>
      <w:r w:rsidRPr="00A80D0E">
        <w:rPr>
          <w:rFonts w:ascii="Arial" w:hAnsi="Arial" w:cs="Arial"/>
        </w:rPr>
        <w:t xml:space="preserve"> to acceptors such as NUBP1, an early CIA </w:t>
      </w:r>
      <w:r w:rsidR="004237F2">
        <w:rPr>
          <w:rFonts w:ascii="Arial" w:hAnsi="Arial" w:cs="Arial"/>
        </w:rPr>
        <w:t xml:space="preserve">machinery </w:t>
      </w:r>
      <w:r w:rsidRPr="00A80D0E">
        <w:rPr>
          <w:rFonts w:ascii="Arial" w:hAnsi="Arial" w:cs="Arial"/>
        </w:rPr>
        <w:t xml:space="preserve">protein that acts as a scaffold for [4Fe-4S] cluster assembly [4]. It has been demonstrated that the formation of a [4Fe-4S] cluster on NUBP1 occurs </w:t>
      </w:r>
      <w:r w:rsidRPr="00A80D0E">
        <w:rPr>
          <w:rFonts w:ascii="Arial" w:hAnsi="Arial" w:cs="Arial"/>
          <w:i/>
          <w:iCs/>
        </w:rPr>
        <w:t>in vitro</w:t>
      </w:r>
      <w:r w:rsidRPr="00A80D0E">
        <w:rPr>
          <w:rFonts w:ascii="Arial" w:hAnsi="Arial" w:cs="Arial"/>
        </w:rPr>
        <w:t xml:space="preserve"> through the reductive coupling of two [2Fe-2S] clusters provided by [2Fe-2S]</w:t>
      </w:r>
      <w:r w:rsidRPr="00A80D0E">
        <w:rPr>
          <w:rFonts w:ascii="Arial" w:hAnsi="Arial" w:cs="Arial"/>
          <w:vertAlign w:val="superscript"/>
        </w:rPr>
        <w:t>2+</w:t>
      </w:r>
      <w:r w:rsidRPr="00A80D0E">
        <w:rPr>
          <w:rFonts w:ascii="Arial" w:hAnsi="Arial" w:cs="Arial"/>
          <w:vertAlign w:val="subscript"/>
        </w:rPr>
        <w:t>2</w:t>
      </w:r>
      <w:r w:rsidRPr="00A80D0E">
        <w:rPr>
          <w:rFonts w:ascii="Arial" w:hAnsi="Arial" w:cs="Arial"/>
        </w:rPr>
        <w:t>-GLRX3</w:t>
      </w:r>
      <w:r w:rsidRPr="00A80D0E">
        <w:rPr>
          <w:rFonts w:ascii="Arial" w:hAnsi="Arial" w:cs="Arial"/>
          <w:vertAlign w:val="subscript"/>
        </w:rPr>
        <w:t>2</w:t>
      </w:r>
      <w:r w:rsidRPr="00A80D0E">
        <w:rPr>
          <w:rFonts w:ascii="Arial" w:hAnsi="Arial" w:cs="Arial"/>
        </w:rPr>
        <w:t xml:space="preserve"> in the presence of an electron donor like glutathione or DTT [5]. In cells, the electrons are thought to be provided by </w:t>
      </w:r>
      <w:proofErr w:type="spellStart"/>
      <w:r w:rsidRPr="00A80D0E">
        <w:rPr>
          <w:rFonts w:ascii="Arial" w:hAnsi="Arial" w:cs="Arial"/>
        </w:rPr>
        <w:t>anamorsin</w:t>
      </w:r>
      <w:proofErr w:type="spellEnd"/>
      <w:r w:rsidRPr="00A80D0E">
        <w:rPr>
          <w:rFonts w:ascii="Arial" w:hAnsi="Arial" w:cs="Arial"/>
        </w:rPr>
        <w:t xml:space="preserve">, a CIA component which takes part </w:t>
      </w:r>
      <w:r w:rsidR="004237F2">
        <w:rPr>
          <w:rFonts w:ascii="Arial" w:hAnsi="Arial" w:cs="Arial"/>
        </w:rPr>
        <w:t>in</w:t>
      </w:r>
      <w:r w:rsidR="004237F2" w:rsidRPr="00A80D0E">
        <w:rPr>
          <w:rFonts w:ascii="Arial" w:hAnsi="Arial" w:cs="Arial"/>
        </w:rPr>
        <w:t xml:space="preserve"> </w:t>
      </w:r>
      <w:r w:rsidRPr="00A80D0E">
        <w:rPr>
          <w:rFonts w:ascii="Arial" w:hAnsi="Arial" w:cs="Arial"/>
        </w:rPr>
        <w:t xml:space="preserve">an electron transfer chain </w:t>
      </w:r>
      <w:r w:rsidR="004237F2">
        <w:rPr>
          <w:rFonts w:ascii="Arial" w:hAnsi="Arial" w:cs="Arial"/>
        </w:rPr>
        <w:t>acting</w:t>
      </w:r>
      <w:r w:rsidR="004237F2" w:rsidRPr="00A80D0E">
        <w:rPr>
          <w:rFonts w:ascii="Arial" w:hAnsi="Arial" w:cs="Arial"/>
        </w:rPr>
        <w:t xml:space="preserve"> </w:t>
      </w:r>
      <w:r w:rsidRPr="00A80D0E">
        <w:rPr>
          <w:rFonts w:ascii="Arial" w:hAnsi="Arial" w:cs="Arial"/>
        </w:rPr>
        <w:t xml:space="preserve">in an early step of cytosolic Fe-S biogenesis [6]. </w:t>
      </w:r>
      <w:r w:rsidRPr="00A80D0E">
        <w:rPr>
          <w:rFonts w:ascii="Arial" w:hAnsi="Arial" w:cs="Arial"/>
          <w:i/>
          <w:iCs/>
        </w:rPr>
        <w:t>In vitro</w:t>
      </w:r>
      <w:r w:rsidRPr="00A80D0E">
        <w:rPr>
          <w:rFonts w:ascii="Arial" w:hAnsi="Arial" w:cs="Arial"/>
        </w:rPr>
        <w:t xml:space="preserve"> studies suggest</w:t>
      </w:r>
      <w:r w:rsidR="004237F2">
        <w:rPr>
          <w:rFonts w:ascii="Arial" w:hAnsi="Arial" w:cs="Arial"/>
        </w:rPr>
        <w:t>ed</w:t>
      </w:r>
      <w:r w:rsidRPr="00A80D0E">
        <w:rPr>
          <w:rFonts w:ascii="Arial" w:hAnsi="Arial" w:cs="Arial"/>
        </w:rPr>
        <w:t xml:space="preserve"> that two molecules of [2Fe-2S</w:t>
      </w:r>
      <w:r w:rsidRPr="00271D21">
        <w:rPr>
          <w:rFonts w:ascii="Arial" w:hAnsi="Arial" w:cs="Arial"/>
        </w:rPr>
        <w:t>]</w:t>
      </w:r>
      <w:r w:rsidR="00474337" w:rsidRPr="00271D21">
        <w:rPr>
          <w:rFonts w:ascii="Arial" w:hAnsi="Arial" w:cs="Arial"/>
          <w:vertAlign w:val="superscript"/>
        </w:rPr>
        <w:t>+</w:t>
      </w:r>
      <w:r w:rsidR="00474337" w:rsidRPr="00271D21">
        <w:rPr>
          <w:rFonts w:ascii="Arial" w:hAnsi="Arial" w:cs="Arial"/>
          <w:vertAlign w:val="subscript"/>
        </w:rPr>
        <w:t>2</w:t>
      </w:r>
      <w:r w:rsidRPr="00A80D0E">
        <w:rPr>
          <w:rFonts w:ascii="Arial" w:hAnsi="Arial" w:cs="Arial"/>
        </w:rPr>
        <w:t xml:space="preserve">-anamorsin form a </w:t>
      </w:r>
      <w:proofErr w:type="spellStart"/>
      <w:r w:rsidRPr="00A80D0E">
        <w:rPr>
          <w:rFonts w:ascii="Arial" w:hAnsi="Arial" w:cs="Arial"/>
        </w:rPr>
        <w:t>heterotetrameric</w:t>
      </w:r>
      <w:proofErr w:type="spellEnd"/>
      <w:r w:rsidRPr="00A80D0E">
        <w:rPr>
          <w:rFonts w:ascii="Arial" w:hAnsi="Arial" w:cs="Arial"/>
        </w:rPr>
        <w:t xml:space="preserve"> complex with [2Fe-2S]</w:t>
      </w:r>
      <w:r w:rsidRPr="00A80D0E">
        <w:rPr>
          <w:rFonts w:ascii="Arial" w:hAnsi="Arial" w:cs="Arial"/>
          <w:vertAlign w:val="superscript"/>
        </w:rPr>
        <w:t>2+</w:t>
      </w:r>
      <w:r w:rsidRPr="00A80D0E">
        <w:rPr>
          <w:rFonts w:ascii="Arial" w:hAnsi="Arial" w:cs="Arial"/>
          <w:vertAlign w:val="subscript"/>
        </w:rPr>
        <w:t>2</w:t>
      </w:r>
      <w:r w:rsidRPr="00A80D0E">
        <w:rPr>
          <w:rFonts w:ascii="Arial" w:hAnsi="Arial" w:cs="Arial"/>
        </w:rPr>
        <w:t>-GLRX3</w:t>
      </w:r>
      <w:r w:rsidRPr="00A80D0E">
        <w:rPr>
          <w:rFonts w:ascii="Arial" w:hAnsi="Arial" w:cs="Arial"/>
          <w:vertAlign w:val="subscript"/>
        </w:rPr>
        <w:t>2</w:t>
      </w:r>
      <w:r w:rsidRPr="00A80D0E">
        <w:rPr>
          <w:rFonts w:ascii="Arial" w:hAnsi="Arial" w:cs="Arial"/>
        </w:rPr>
        <w:t xml:space="preserve"> in order to cooperate and supply both [2Fe-2S] clusters and electrons for </w:t>
      </w:r>
      <w:r w:rsidR="004237F2">
        <w:rPr>
          <w:rFonts w:ascii="Arial" w:hAnsi="Arial" w:cs="Arial"/>
        </w:rPr>
        <w:t xml:space="preserve">the </w:t>
      </w:r>
      <w:r w:rsidRPr="00A80D0E">
        <w:rPr>
          <w:rFonts w:ascii="Arial" w:hAnsi="Arial" w:cs="Arial"/>
        </w:rPr>
        <w:t>[4Fe-4S]</w:t>
      </w:r>
      <w:r w:rsidR="00474337" w:rsidRPr="00A80D0E">
        <w:rPr>
          <w:rFonts w:ascii="Arial" w:hAnsi="Arial" w:cs="Arial"/>
          <w:vertAlign w:val="superscript"/>
        </w:rPr>
        <w:t>2+</w:t>
      </w:r>
      <w:r w:rsidR="00F7213F">
        <w:rPr>
          <w:rFonts w:ascii="Arial" w:hAnsi="Arial" w:cs="Arial"/>
        </w:rPr>
        <w:t xml:space="preserve"> </w:t>
      </w:r>
      <w:r w:rsidRPr="00A80D0E">
        <w:rPr>
          <w:rFonts w:ascii="Arial" w:hAnsi="Arial" w:cs="Arial"/>
        </w:rPr>
        <w:t xml:space="preserve">cluster </w:t>
      </w:r>
      <w:r w:rsidR="004237F2">
        <w:rPr>
          <w:rFonts w:ascii="Arial" w:hAnsi="Arial" w:cs="Arial"/>
        </w:rPr>
        <w:t>assembly</w:t>
      </w:r>
      <w:r w:rsidR="004237F2" w:rsidRPr="00A80D0E">
        <w:rPr>
          <w:rFonts w:ascii="Arial" w:hAnsi="Arial" w:cs="Arial"/>
        </w:rPr>
        <w:t xml:space="preserve"> </w:t>
      </w:r>
      <w:r w:rsidRPr="00A80D0E">
        <w:rPr>
          <w:rFonts w:ascii="Arial" w:hAnsi="Arial" w:cs="Arial"/>
        </w:rPr>
        <w:t>on NUBP1 [7]. To characterize th</w:t>
      </w:r>
      <w:r w:rsidR="004237F2">
        <w:rPr>
          <w:rFonts w:ascii="Arial" w:hAnsi="Arial" w:cs="Arial"/>
        </w:rPr>
        <w:t>is</w:t>
      </w:r>
      <w:r w:rsidRPr="00A80D0E">
        <w:rPr>
          <w:rFonts w:ascii="Arial" w:hAnsi="Arial" w:cs="Arial"/>
        </w:rPr>
        <w:t xml:space="preserve"> mechanism, we studied the role of </w:t>
      </w:r>
      <w:r w:rsidR="004237F2">
        <w:rPr>
          <w:rFonts w:ascii="Arial" w:hAnsi="Arial" w:cs="Arial"/>
        </w:rPr>
        <w:t>each of the of GLRX3</w:t>
      </w:r>
      <w:r w:rsidRPr="00A80D0E">
        <w:rPr>
          <w:rFonts w:ascii="Arial" w:hAnsi="Arial" w:cs="Arial"/>
        </w:rPr>
        <w:t xml:space="preserve"> three domains by expressing different protein constructs </w:t>
      </w:r>
      <w:r w:rsidR="000D0AA8">
        <w:rPr>
          <w:rFonts w:ascii="Arial" w:hAnsi="Arial" w:cs="Arial"/>
        </w:rPr>
        <w:t xml:space="preserve">and mutants </w:t>
      </w:r>
      <w:r w:rsidRPr="00A80D0E">
        <w:rPr>
          <w:rFonts w:ascii="Arial" w:hAnsi="Arial" w:cs="Arial"/>
        </w:rPr>
        <w:t xml:space="preserve">of GLRX3 in </w:t>
      </w:r>
      <w:r w:rsidRPr="00A80D0E">
        <w:rPr>
          <w:rFonts w:ascii="Arial" w:hAnsi="Arial" w:cs="Arial"/>
          <w:i/>
          <w:iCs/>
        </w:rPr>
        <w:t xml:space="preserve">E. coli </w:t>
      </w:r>
      <w:r w:rsidRPr="00A53C6A">
        <w:rPr>
          <w:rFonts w:ascii="Arial" w:hAnsi="Arial" w:cs="Arial"/>
        </w:rPr>
        <w:t>and</w:t>
      </w:r>
      <w:r w:rsidRPr="00A80D0E">
        <w:rPr>
          <w:rFonts w:ascii="Arial" w:hAnsi="Arial" w:cs="Arial"/>
          <w:i/>
          <w:iCs/>
        </w:rPr>
        <w:t xml:space="preserve"> </w:t>
      </w:r>
      <w:r w:rsidRPr="00A80D0E">
        <w:rPr>
          <w:rFonts w:ascii="Arial" w:hAnsi="Arial" w:cs="Arial"/>
        </w:rPr>
        <w:t>subsequently analy</w:t>
      </w:r>
      <w:r w:rsidR="007911AF">
        <w:rPr>
          <w:rFonts w:ascii="Arial" w:hAnsi="Arial" w:cs="Arial"/>
        </w:rPr>
        <w:t>z</w:t>
      </w:r>
      <w:r w:rsidRPr="00A80D0E">
        <w:rPr>
          <w:rFonts w:ascii="Arial" w:hAnsi="Arial" w:cs="Arial"/>
        </w:rPr>
        <w:t xml:space="preserve">ing their ability to transfer the [2Fe-2S] clusters to NUBP1. </w:t>
      </w:r>
      <w:r>
        <w:rPr>
          <w:rFonts w:ascii="Arial" w:hAnsi="Arial" w:cs="Arial"/>
        </w:rPr>
        <w:t>Our</w:t>
      </w:r>
      <w:r w:rsidRPr="00A80D0E">
        <w:rPr>
          <w:rFonts w:ascii="Arial" w:hAnsi="Arial" w:cs="Arial"/>
        </w:rPr>
        <w:t xml:space="preserve"> research was carried out by using a combination of biochemical and spectroscopic techniques, including UV-Vis spectroscopy, </w:t>
      </w:r>
      <w:r>
        <w:rPr>
          <w:rFonts w:ascii="Arial" w:hAnsi="Arial" w:cs="Arial"/>
        </w:rPr>
        <w:t xml:space="preserve">paramagnetic </w:t>
      </w:r>
      <w:r w:rsidRPr="00A80D0E">
        <w:rPr>
          <w:rFonts w:ascii="Arial" w:hAnsi="Arial" w:cs="Arial"/>
        </w:rPr>
        <w:t>NMR, and size-exclusion chromatography.</w:t>
      </w:r>
    </w:p>
    <w:p w14:paraId="4FE22C18" w14:textId="77777777" w:rsidR="004F3465" w:rsidRDefault="004F3465" w:rsidP="00677BB1">
      <w:pPr>
        <w:spacing w:after="0" w:line="240" w:lineRule="auto"/>
        <w:jc w:val="both"/>
        <w:rPr>
          <w:rFonts w:ascii="Arial" w:hAnsi="Arial" w:cs="Arial"/>
          <w:b/>
        </w:rPr>
      </w:pPr>
    </w:p>
    <w:p w14:paraId="4FE22C1A" w14:textId="77777777" w:rsidR="00677BB1" w:rsidRDefault="00677BB1" w:rsidP="00677BB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353EFBC1" w14:textId="77777777" w:rsidR="00A80D0E" w:rsidRPr="001E2DC5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</w:rPr>
      </w:pPr>
      <w:r w:rsidRPr="001E2DC5">
        <w:rPr>
          <w:rFonts w:ascii="Arial" w:hAnsi="Arial" w:cs="Arial"/>
          <w:sz w:val="20"/>
          <w:szCs w:val="20"/>
        </w:rPr>
        <w:t xml:space="preserve">[1] Lill, R.; </w:t>
      </w:r>
      <w:proofErr w:type="spellStart"/>
      <w:r w:rsidRPr="001E2DC5">
        <w:rPr>
          <w:rFonts w:ascii="Arial" w:hAnsi="Arial" w:cs="Arial"/>
          <w:sz w:val="20"/>
          <w:szCs w:val="20"/>
        </w:rPr>
        <w:t>Mühlenhoff</w:t>
      </w:r>
      <w:proofErr w:type="spellEnd"/>
      <w:r w:rsidRPr="001E2DC5">
        <w:rPr>
          <w:rFonts w:ascii="Arial" w:hAnsi="Arial" w:cs="Arial"/>
          <w:sz w:val="20"/>
          <w:szCs w:val="20"/>
        </w:rPr>
        <w:t>, U. (2006), Annual Review of Cell and Developmental Biology, 22:457-86.</w:t>
      </w:r>
    </w:p>
    <w:p w14:paraId="4C4CEB36" w14:textId="77777777" w:rsidR="00A80D0E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</w:rPr>
      </w:pPr>
      <w:r w:rsidRPr="001E2DC5">
        <w:rPr>
          <w:rFonts w:ascii="Arial" w:hAnsi="Arial" w:cs="Arial"/>
          <w:sz w:val="20"/>
          <w:szCs w:val="20"/>
        </w:rPr>
        <w:t>[2] Netz, D. J.A.; Mascarenhas, J.; Stehling, O.; Pierik, A.J.; Lill, R. (2014), Trends Cell Biol.</w:t>
      </w:r>
      <w:r>
        <w:rPr>
          <w:rFonts w:ascii="Arial" w:hAnsi="Arial" w:cs="Arial"/>
          <w:sz w:val="20"/>
          <w:szCs w:val="20"/>
        </w:rPr>
        <w:t>,</w:t>
      </w:r>
      <w:r w:rsidRPr="001E2DC5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>:</w:t>
      </w:r>
      <w:r w:rsidRPr="001E2DC5">
        <w:rPr>
          <w:rFonts w:ascii="Arial" w:hAnsi="Arial" w:cs="Arial"/>
          <w:sz w:val="20"/>
          <w:szCs w:val="20"/>
        </w:rPr>
        <w:t>303-312.</w:t>
      </w:r>
    </w:p>
    <w:p w14:paraId="3DE85720" w14:textId="77777777" w:rsidR="00A80D0E" w:rsidRPr="001E2DC5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[3] Braymer, J.J.; Stehling, O.; </w:t>
      </w:r>
      <w:proofErr w:type="spellStart"/>
      <w:r w:rsidRPr="002F1BDA">
        <w:rPr>
          <w:rFonts w:ascii="Arial" w:hAnsi="Arial" w:cs="Arial"/>
          <w:sz w:val="20"/>
          <w:szCs w:val="20"/>
        </w:rPr>
        <w:t>Stümpfi</w:t>
      </w:r>
      <w:r>
        <w:rPr>
          <w:rFonts w:ascii="Arial" w:hAnsi="Arial" w:cs="Arial"/>
          <w:sz w:val="20"/>
          <w:szCs w:val="20"/>
        </w:rPr>
        <w:t>g</w:t>
      </w:r>
      <w:proofErr w:type="spellEnd"/>
      <w:r>
        <w:rPr>
          <w:rFonts w:ascii="Arial" w:hAnsi="Arial" w:cs="Arial"/>
          <w:sz w:val="20"/>
          <w:szCs w:val="20"/>
        </w:rPr>
        <w:t>, M.;</w:t>
      </w:r>
      <w:r w:rsidRPr="002F1BDA">
        <w:rPr>
          <w:rFonts w:ascii="Arial" w:hAnsi="Arial" w:cs="Arial"/>
          <w:sz w:val="20"/>
          <w:szCs w:val="20"/>
        </w:rPr>
        <w:t xml:space="preserve"> Rösser</w:t>
      </w:r>
      <w:r>
        <w:rPr>
          <w:rFonts w:ascii="Arial" w:hAnsi="Arial" w:cs="Arial"/>
          <w:sz w:val="20"/>
          <w:szCs w:val="20"/>
        </w:rPr>
        <w:t xml:space="preserve">, R.; </w:t>
      </w:r>
      <w:proofErr w:type="spellStart"/>
      <w:r>
        <w:rPr>
          <w:rFonts w:ascii="Arial" w:hAnsi="Arial" w:cs="Arial"/>
          <w:sz w:val="20"/>
          <w:szCs w:val="20"/>
        </w:rPr>
        <w:t>Spantgar</w:t>
      </w:r>
      <w:proofErr w:type="spellEnd"/>
      <w:r>
        <w:rPr>
          <w:rFonts w:ascii="Arial" w:hAnsi="Arial" w:cs="Arial"/>
          <w:sz w:val="20"/>
          <w:szCs w:val="20"/>
        </w:rPr>
        <w:t xml:space="preserve">, F.; Blinn, C.M.; </w:t>
      </w:r>
      <w:proofErr w:type="spellStart"/>
      <w:r w:rsidRPr="002F1BDA">
        <w:rPr>
          <w:rFonts w:ascii="Arial" w:hAnsi="Arial" w:cs="Arial"/>
          <w:sz w:val="20"/>
          <w:szCs w:val="20"/>
        </w:rPr>
        <w:t>Mühlenhoff</w:t>
      </w:r>
      <w:proofErr w:type="spellEnd"/>
      <w:r>
        <w:rPr>
          <w:rFonts w:ascii="Arial" w:hAnsi="Arial" w:cs="Arial"/>
          <w:sz w:val="20"/>
          <w:szCs w:val="20"/>
        </w:rPr>
        <w:t xml:space="preserve">, U.; Pierik, A.J.; Lill, R. (2024), PNAS, </w:t>
      </w:r>
      <w:r w:rsidRPr="002F1BDA">
        <w:rPr>
          <w:rFonts w:ascii="Arial" w:hAnsi="Arial" w:cs="Arial"/>
          <w:sz w:val="20"/>
          <w:szCs w:val="20"/>
        </w:rPr>
        <w:t>121(21)</w:t>
      </w:r>
      <w:r>
        <w:rPr>
          <w:rFonts w:ascii="Arial" w:hAnsi="Arial" w:cs="Arial"/>
          <w:sz w:val="20"/>
          <w:szCs w:val="20"/>
        </w:rPr>
        <w:t>:</w:t>
      </w:r>
      <w:r w:rsidRPr="002F1BDA">
        <w:rPr>
          <w:rFonts w:ascii="Arial" w:hAnsi="Arial" w:cs="Arial"/>
          <w:sz w:val="20"/>
          <w:szCs w:val="20"/>
        </w:rPr>
        <w:t>e2400740121</w:t>
      </w:r>
    </w:p>
    <w:p w14:paraId="15633EAB" w14:textId="77777777" w:rsidR="00A80D0E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</w:rPr>
      </w:pPr>
      <w:r w:rsidRPr="001E2DC5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4</w:t>
      </w:r>
      <w:r w:rsidRPr="001E2DC5">
        <w:rPr>
          <w:rFonts w:ascii="Arial" w:hAnsi="Arial" w:cs="Arial"/>
          <w:sz w:val="20"/>
          <w:szCs w:val="20"/>
        </w:rPr>
        <w:t xml:space="preserve">] Stehling, O.; Jeoung, J-H.; Freibert, S.A.; Paul, V.D.; </w:t>
      </w:r>
      <w:proofErr w:type="spellStart"/>
      <w:r w:rsidRPr="001E2DC5">
        <w:rPr>
          <w:rFonts w:ascii="Arial" w:hAnsi="Arial" w:cs="Arial"/>
          <w:sz w:val="20"/>
          <w:szCs w:val="20"/>
        </w:rPr>
        <w:t>Bänfer</w:t>
      </w:r>
      <w:proofErr w:type="spellEnd"/>
      <w:r w:rsidRPr="001E2DC5">
        <w:rPr>
          <w:rFonts w:ascii="Arial" w:hAnsi="Arial" w:cs="Arial"/>
          <w:sz w:val="20"/>
          <w:szCs w:val="20"/>
        </w:rPr>
        <w:t xml:space="preserve">, S.;, Niggemeyer, B.; Rösser, R.; </w:t>
      </w:r>
      <w:proofErr w:type="spellStart"/>
      <w:r w:rsidRPr="001E2DC5">
        <w:rPr>
          <w:rFonts w:ascii="Arial" w:hAnsi="Arial" w:cs="Arial"/>
          <w:sz w:val="20"/>
          <w:szCs w:val="20"/>
        </w:rPr>
        <w:t>Dobbek</w:t>
      </w:r>
      <w:proofErr w:type="spellEnd"/>
      <w:r w:rsidRPr="001E2DC5">
        <w:rPr>
          <w:rFonts w:ascii="Arial" w:hAnsi="Arial" w:cs="Arial"/>
          <w:sz w:val="20"/>
          <w:szCs w:val="20"/>
        </w:rPr>
        <w:t xml:space="preserve">, H.; Lill, R. (2018), PNAS, 115(39):E9085-E9094. </w:t>
      </w:r>
    </w:p>
    <w:p w14:paraId="1B67EA02" w14:textId="77777777" w:rsidR="00A80D0E" w:rsidRPr="000A74A5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0A74A5">
        <w:rPr>
          <w:rFonts w:ascii="Arial" w:hAnsi="Arial" w:cs="Arial"/>
          <w:sz w:val="20"/>
          <w:szCs w:val="20"/>
          <w:lang w:val="it-IT"/>
        </w:rPr>
        <w:t>[</w:t>
      </w:r>
      <w:r>
        <w:rPr>
          <w:rFonts w:ascii="Arial" w:hAnsi="Arial" w:cs="Arial"/>
          <w:sz w:val="20"/>
          <w:szCs w:val="20"/>
          <w:lang w:val="it-IT"/>
        </w:rPr>
        <w:t>5</w:t>
      </w:r>
      <w:r w:rsidRPr="000A74A5">
        <w:rPr>
          <w:rFonts w:ascii="Arial" w:hAnsi="Arial" w:cs="Arial"/>
          <w:sz w:val="20"/>
          <w:szCs w:val="20"/>
          <w:lang w:val="it-IT"/>
        </w:rPr>
        <w:t>] Camponeschi, F.; Prusty, N.R.; Heider, S.A.E.; Ciofi-Baffoni, S.; Banci, L. (2020), JACS, 142:10794-10805.</w:t>
      </w:r>
    </w:p>
    <w:p w14:paraId="7C8917EE" w14:textId="77777777" w:rsidR="00A80D0E" w:rsidRPr="000A74A5" w:rsidRDefault="00A80D0E" w:rsidP="00A80D0E">
      <w:pPr>
        <w:spacing w:after="2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0A74A5">
        <w:rPr>
          <w:rFonts w:ascii="Arial" w:hAnsi="Arial" w:cs="Arial"/>
          <w:sz w:val="20"/>
          <w:szCs w:val="20"/>
          <w:lang w:val="it-IT"/>
        </w:rPr>
        <w:t>[</w:t>
      </w:r>
      <w:r>
        <w:rPr>
          <w:rFonts w:ascii="Arial" w:hAnsi="Arial" w:cs="Arial"/>
          <w:sz w:val="20"/>
          <w:szCs w:val="20"/>
          <w:lang w:val="it-IT"/>
        </w:rPr>
        <w:t>6</w:t>
      </w:r>
      <w:r w:rsidRPr="000A74A5">
        <w:rPr>
          <w:rFonts w:ascii="Arial" w:hAnsi="Arial" w:cs="Arial"/>
          <w:sz w:val="20"/>
          <w:szCs w:val="20"/>
          <w:lang w:val="it-IT"/>
        </w:rPr>
        <w:t>] Banci, L.; Bertini, I.; Calderone, V.; Ciofi-Baffoni, S.; Giachetti, A.; Jaiwal, D.; Mikolajczyk, M.; Piccioli, M.; Winkelmann, J. (2013), PNAS, 110(18):7136-7141.</w:t>
      </w:r>
    </w:p>
    <w:p w14:paraId="4FE22C23" w14:textId="31AF792B" w:rsidR="006C1F1D" w:rsidRPr="0005473A" w:rsidRDefault="00A80D0E" w:rsidP="00866C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74A5">
        <w:rPr>
          <w:rFonts w:ascii="Arial" w:hAnsi="Arial" w:cs="Arial"/>
          <w:sz w:val="20"/>
          <w:szCs w:val="20"/>
          <w:lang w:val="it-IT"/>
        </w:rPr>
        <w:t>[</w:t>
      </w:r>
      <w:r>
        <w:rPr>
          <w:rFonts w:ascii="Arial" w:hAnsi="Arial" w:cs="Arial"/>
          <w:sz w:val="20"/>
          <w:szCs w:val="20"/>
          <w:lang w:val="it-IT"/>
        </w:rPr>
        <w:t>7</w:t>
      </w:r>
      <w:r w:rsidRPr="000A74A5">
        <w:rPr>
          <w:rFonts w:ascii="Arial" w:hAnsi="Arial" w:cs="Arial"/>
          <w:sz w:val="20"/>
          <w:szCs w:val="20"/>
          <w:lang w:val="it-IT"/>
        </w:rPr>
        <w:t xml:space="preserve">] Bargagna, B.; Matteucci, S.; Ciofi-Baffoni, S.; Camponeschi, F.; Banci, L. (2023), </w:t>
      </w:r>
      <w:proofErr w:type="spellStart"/>
      <w:r w:rsidRPr="000A74A5">
        <w:rPr>
          <w:rFonts w:ascii="Arial" w:hAnsi="Arial" w:cs="Arial"/>
          <w:sz w:val="20"/>
          <w:szCs w:val="20"/>
          <w:lang w:val="it-IT"/>
        </w:rPr>
        <w:t>Protein</w:t>
      </w:r>
      <w:proofErr w:type="spellEnd"/>
      <w:r w:rsidRPr="000A74A5">
        <w:rPr>
          <w:rFonts w:ascii="Arial" w:hAnsi="Arial" w:cs="Arial"/>
          <w:sz w:val="20"/>
          <w:szCs w:val="20"/>
          <w:lang w:val="it-IT"/>
        </w:rPr>
        <w:t xml:space="preserve"> Science, 32(5):e4625.</w:t>
      </w:r>
    </w:p>
    <w:sectPr w:rsidR="006C1F1D" w:rsidRPr="0005473A" w:rsidSect="00677BB1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B2DA" w14:textId="77777777" w:rsidR="00E509EA" w:rsidRDefault="00E509EA" w:rsidP="00866CCB">
      <w:pPr>
        <w:spacing w:after="0" w:line="240" w:lineRule="auto"/>
      </w:pPr>
      <w:r>
        <w:separator/>
      </w:r>
    </w:p>
  </w:endnote>
  <w:endnote w:type="continuationSeparator" w:id="0">
    <w:p w14:paraId="574954C2" w14:textId="77777777" w:rsidR="00E509EA" w:rsidRDefault="00E509EA" w:rsidP="0086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2C2A" w14:textId="77777777" w:rsidR="004F3465" w:rsidRPr="00276D3D" w:rsidRDefault="004F3465" w:rsidP="004F3465">
    <w:pPr>
      <w:pStyle w:val="Pidipagina"/>
      <w:jc w:val="center"/>
      <w:rPr>
        <w:rFonts w:ascii="Arial" w:hAnsi="Arial" w:cs="Arial"/>
        <w:lang w:val="pt-PT"/>
      </w:rPr>
    </w:pPr>
    <w:r w:rsidRPr="00276D3D">
      <w:rPr>
        <w:rFonts w:ascii="Arial" w:hAnsi="Arial" w:cs="Arial"/>
        <w:lang w:val="pt-PT"/>
      </w:rPr>
      <w:t>CA 21115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2B10" w14:textId="77777777" w:rsidR="00E509EA" w:rsidRDefault="00E509EA" w:rsidP="00866CCB">
      <w:pPr>
        <w:spacing w:after="0" w:line="240" w:lineRule="auto"/>
      </w:pPr>
      <w:r>
        <w:separator/>
      </w:r>
    </w:p>
  </w:footnote>
  <w:footnote w:type="continuationSeparator" w:id="0">
    <w:p w14:paraId="7EB94D8A" w14:textId="77777777" w:rsidR="00E509EA" w:rsidRDefault="00E509EA" w:rsidP="0086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2C28" w14:textId="716302F0" w:rsidR="004F3465" w:rsidRPr="00420592" w:rsidRDefault="004F3465" w:rsidP="004F3465">
    <w:pPr>
      <w:pStyle w:val="Intestazione"/>
      <w:jc w:val="center"/>
      <w:rPr>
        <w:rFonts w:ascii="Arial" w:hAnsi="Arial" w:cs="Arial"/>
      </w:rPr>
    </w:pPr>
    <w:proofErr w:type="spellStart"/>
    <w:r w:rsidRPr="00276D3D">
      <w:rPr>
        <w:rFonts w:ascii="Arial" w:hAnsi="Arial" w:cs="Arial"/>
      </w:rPr>
      <w:t>FeSImmChemNet</w:t>
    </w:r>
    <w:proofErr w:type="spellEnd"/>
    <w:r w:rsidRPr="00276D3D">
      <w:rPr>
        <w:rFonts w:ascii="Arial" w:hAnsi="Arial" w:cs="Arial"/>
      </w:rPr>
      <w:t xml:space="preserve"> scientific meeting, 23 </w:t>
    </w:r>
    <w:r w:rsidR="006F6E19">
      <w:rPr>
        <w:rFonts w:ascii="Arial" w:hAnsi="Arial" w:cs="Arial"/>
      </w:rPr>
      <w:t>–</w:t>
    </w:r>
    <w:r w:rsidRPr="00276D3D">
      <w:rPr>
        <w:rFonts w:ascii="Arial" w:hAnsi="Arial" w:cs="Arial"/>
      </w:rPr>
      <w:t xml:space="preserve"> 2</w:t>
    </w:r>
    <w:r w:rsidR="00A915B3">
      <w:rPr>
        <w:rFonts w:ascii="Arial" w:hAnsi="Arial" w:cs="Arial"/>
      </w:rPr>
      <w:t>4</w:t>
    </w:r>
    <w:r w:rsidRPr="00276D3D">
      <w:rPr>
        <w:rFonts w:ascii="Arial" w:hAnsi="Arial" w:cs="Arial"/>
      </w:rPr>
      <w:t xml:space="preserve"> </w:t>
    </w:r>
    <w:r w:rsidR="00A915B3">
      <w:rPr>
        <w:rFonts w:ascii="Arial" w:hAnsi="Arial" w:cs="Arial"/>
      </w:rPr>
      <w:t>April 2025, Belgrade, Serbia</w:t>
    </w:r>
  </w:p>
  <w:p w14:paraId="4FE22C29" w14:textId="77777777" w:rsidR="00866CCB" w:rsidRPr="00420592" w:rsidRDefault="00866CCB">
    <w:pPr>
      <w:pStyle w:val="Intestazion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CB"/>
    <w:rsid w:val="00007708"/>
    <w:rsid w:val="000229BA"/>
    <w:rsid w:val="00031E06"/>
    <w:rsid w:val="0005473A"/>
    <w:rsid w:val="00092263"/>
    <w:rsid w:val="000D0AA8"/>
    <w:rsid w:val="00104CE2"/>
    <w:rsid w:val="00104E6C"/>
    <w:rsid w:val="00174863"/>
    <w:rsid w:val="001D2F83"/>
    <w:rsid w:val="00235E47"/>
    <w:rsid w:val="00271D21"/>
    <w:rsid w:val="00276D3D"/>
    <w:rsid w:val="002C4BEC"/>
    <w:rsid w:val="00361764"/>
    <w:rsid w:val="00367C2C"/>
    <w:rsid w:val="0040093E"/>
    <w:rsid w:val="004120BE"/>
    <w:rsid w:val="00420592"/>
    <w:rsid w:val="004237F2"/>
    <w:rsid w:val="00474337"/>
    <w:rsid w:val="004F3465"/>
    <w:rsid w:val="00564F72"/>
    <w:rsid w:val="005822AA"/>
    <w:rsid w:val="00615C6D"/>
    <w:rsid w:val="006675DC"/>
    <w:rsid w:val="00677BB1"/>
    <w:rsid w:val="006C1F1D"/>
    <w:rsid w:val="006D250A"/>
    <w:rsid w:val="006F6E19"/>
    <w:rsid w:val="007253E4"/>
    <w:rsid w:val="00747F38"/>
    <w:rsid w:val="007911AF"/>
    <w:rsid w:val="00866CCB"/>
    <w:rsid w:val="008A3917"/>
    <w:rsid w:val="008D0EA1"/>
    <w:rsid w:val="00932F41"/>
    <w:rsid w:val="00993B48"/>
    <w:rsid w:val="009A3EB9"/>
    <w:rsid w:val="00A53C6A"/>
    <w:rsid w:val="00A80D0E"/>
    <w:rsid w:val="00A915B3"/>
    <w:rsid w:val="00B06562"/>
    <w:rsid w:val="00B35042"/>
    <w:rsid w:val="00B56D62"/>
    <w:rsid w:val="00B753D1"/>
    <w:rsid w:val="00B952BD"/>
    <w:rsid w:val="00BA685C"/>
    <w:rsid w:val="00BA7C6E"/>
    <w:rsid w:val="00BD452A"/>
    <w:rsid w:val="00BE4D3E"/>
    <w:rsid w:val="00C21235"/>
    <w:rsid w:val="00C42587"/>
    <w:rsid w:val="00C916BE"/>
    <w:rsid w:val="00D13A2B"/>
    <w:rsid w:val="00E0768A"/>
    <w:rsid w:val="00E30645"/>
    <w:rsid w:val="00E509EA"/>
    <w:rsid w:val="00F7213F"/>
    <w:rsid w:val="00F9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22C0F"/>
  <w15:docId w15:val="{C4057F79-AD24-4024-BDEB-8CAA6604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4">
    <w:name w:val="heading 4"/>
    <w:basedOn w:val="Normale"/>
    <w:link w:val="Titolo4Carattere"/>
    <w:uiPriority w:val="9"/>
    <w:qFormat/>
    <w:rsid w:val="008D0E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6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CCB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66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CCB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6CCB"/>
    <w:rPr>
      <w:rFonts w:ascii="Tahoma" w:hAnsi="Tahoma" w:cs="Tahoma"/>
      <w:sz w:val="16"/>
      <w:szCs w:val="16"/>
      <w:lang w:val="en-US"/>
    </w:rPr>
  </w:style>
  <w:style w:type="paragraph" w:styleId="NormaleWeb">
    <w:name w:val="Normal (Web)"/>
    <w:basedOn w:val="Normale"/>
    <w:uiPriority w:val="99"/>
    <w:unhideWhenUsed/>
    <w:rsid w:val="0086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BA7C6E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D0EA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685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615C6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0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Pratali Elisa</dc:creator>
  <cp:lastModifiedBy>Rosanna Cuccaro</cp:lastModifiedBy>
  <cp:revision>7</cp:revision>
  <dcterms:created xsi:type="dcterms:W3CDTF">2025-02-28T10:42:00Z</dcterms:created>
  <dcterms:modified xsi:type="dcterms:W3CDTF">2025-02-28T10:52:00Z</dcterms:modified>
</cp:coreProperties>
</file>