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8A4DE" w14:textId="06D893DB" w:rsidR="003E780D" w:rsidRPr="00E74712" w:rsidRDefault="003E780D" w:rsidP="00B56077">
      <w:pPr>
        <w:suppressLineNumbers/>
        <w:spacing w:before="240" w:after="36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val="en-GB" w:eastAsia="it-IT"/>
          <w14:ligatures w14:val="none"/>
        </w:rPr>
      </w:pPr>
      <w:r w:rsidRPr="00E74712">
        <w:rPr>
          <w:rFonts w:ascii="Times New Roman" w:eastAsia="Times New Roman" w:hAnsi="Times New Roman" w:cs="Times New Roman"/>
          <w:b/>
          <w:i/>
          <w:iCs/>
          <w:kern w:val="0"/>
          <w:sz w:val="32"/>
          <w:szCs w:val="32"/>
          <w:lang w:val="en-GB" w:eastAsia="it-IT"/>
          <w14:ligatures w14:val="none"/>
        </w:rPr>
        <w:t xml:space="preserve">Genome-wide association analysis and metabolic profiling </w:t>
      </w:r>
      <w:r w:rsidR="00E74712" w:rsidRPr="00E74712">
        <w:rPr>
          <w:rFonts w:ascii="Times New Roman" w:eastAsia="Times New Roman" w:hAnsi="Times New Roman" w:cs="Times New Roman"/>
          <w:b/>
          <w:i/>
          <w:iCs/>
          <w:kern w:val="0"/>
          <w:sz w:val="32"/>
          <w:szCs w:val="32"/>
          <w:lang w:val="en-GB" w:eastAsia="it-IT"/>
          <w14:ligatures w14:val="none"/>
        </w:rPr>
        <w:t>reveal</w:t>
      </w:r>
      <w:r w:rsidRPr="00E74712">
        <w:rPr>
          <w:rFonts w:ascii="Times New Roman" w:eastAsia="Times New Roman" w:hAnsi="Times New Roman" w:cs="Times New Roman"/>
          <w:b/>
          <w:i/>
          <w:iCs/>
          <w:kern w:val="0"/>
          <w:sz w:val="32"/>
          <w:szCs w:val="32"/>
          <w:lang w:val="en-GB" w:eastAsia="it-IT"/>
          <w14:ligatures w14:val="none"/>
        </w:rPr>
        <w:t xml:space="preserve"> the high complexity of salt tolerance polymorphism in the nitrogen</w:t>
      </w:r>
      <w:r w:rsidR="00E74712" w:rsidRPr="00E74712">
        <w:rPr>
          <w:rFonts w:ascii="Times New Roman" w:eastAsia="Times New Roman" w:hAnsi="Times New Roman" w:cs="Times New Roman"/>
          <w:b/>
          <w:i/>
          <w:iCs/>
          <w:kern w:val="0"/>
          <w:sz w:val="32"/>
          <w:szCs w:val="32"/>
          <w:lang w:val="en-GB" w:eastAsia="it-IT"/>
          <w14:ligatures w14:val="none"/>
        </w:rPr>
        <w:t>-</w:t>
      </w:r>
      <w:r w:rsidRPr="00E74712">
        <w:rPr>
          <w:rFonts w:ascii="Times New Roman" w:eastAsia="Times New Roman" w:hAnsi="Times New Roman" w:cs="Times New Roman"/>
          <w:b/>
          <w:i/>
          <w:iCs/>
          <w:kern w:val="0"/>
          <w:sz w:val="32"/>
          <w:szCs w:val="32"/>
          <w:lang w:val="en-GB" w:eastAsia="it-IT"/>
          <w14:ligatures w14:val="none"/>
        </w:rPr>
        <w:t xml:space="preserve">fixing </w:t>
      </w:r>
      <w:proofErr w:type="spellStart"/>
      <w:r w:rsidRPr="00E74712">
        <w:rPr>
          <w:rFonts w:ascii="Times New Roman" w:eastAsia="Times New Roman" w:hAnsi="Times New Roman" w:cs="Times New Roman"/>
          <w:b/>
          <w:i/>
          <w:iCs/>
          <w:kern w:val="0"/>
          <w:sz w:val="32"/>
          <w:szCs w:val="32"/>
          <w:lang w:val="en-GB" w:eastAsia="it-IT"/>
          <w14:ligatures w14:val="none"/>
        </w:rPr>
        <w:t>Sinorhizobium</w:t>
      </w:r>
      <w:proofErr w:type="spellEnd"/>
      <w:r w:rsidRPr="00E74712">
        <w:rPr>
          <w:rFonts w:ascii="Times New Roman" w:eastAsia="Times New Roman" w:hAnsi="Times New Roman" w:cs="Times New Roman"/>
          <w:b/>
          <w:i/>
          <w:iCs/>
          <w:kern w:val="0"/>
          <w:sz w:val="32"/>
          <w:szCs w:val="32"/>
          <w:lang w:val="en-GB" w:eastAsia="it-IT"/>
          <w14:ligatures w14:val="none"/>
        </w:rPr>
        <w:t xml:space="preserve"> </w:t>
      </w:r>
      <w:proofErr w:type="spellStart"/>
      <w:r w:rsidRPr="00E74712">
        <w:rPr>
          <w:rFonts w:ascii="Times New Roman" w:eastAsia="Times New Roman" w:hAnsi="Times New Roman" w:cs="Times New Roman"/>
          <w:b/>
          <w:i/>
          <w:iCs/>
          <w:kern w:val="0"/>
          <w:sz w:val="32"/>
          <w:szCs w:val="32"/>
          <w:lang w:val="en-GB" w:eastAsia="it-IT"/>
          <w14:ligatures w14:val="none"/>
        </w:rPr>
        <w:t>meliloti</w:t>
      </w:r>
      <w:proofErr w:type="spellEnd"/>
    </w:p>
    <w:p w14:paraId="1AC977D2" w14:textId="1E410149" w:rsidR="003E780D" w:rsidRPr="003E780D" w:rsidRDefault="003E780D" w:rsidP="003E78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it-IT"/>
          <w14:ligatures w14:val="none"/>
        </w:rPr>
      </w:pPr>
      <w:r w:rsidRPr="003E780D">
        <w:rPr>
          <w:rFonts w:ascii="Times New Roman" w:eastAsia="Times New Roman" w:hAnsi="Times New Roman" w:cs="Times New Roman"/>
          <w:b/>
          <w:kern w:val="0"/>
          <w:sz w:val="24"/>
          <w:u w:val="single"/>
          <w:lang w:eastAsia="it-IT"/>
          <w14:ligatures w14:val="none"/>
        </w:rPr>
        <w:t>Agnese Bellabarba</w:t>
      </w:r>
      <w:r w:rsidRPr="003E780D">
        <w:rPr>
          <w:rFonts w:ascii="Times New Roman" w:eastAsia="Times New Roman" w:hAnsi="Times New Roman" w:cs="Times New Roman"/>
          <w:b/>
          <w:kern w:val="0"/>
          <w:sz w:val="24"/>
          <w:lang w:eastAsia="it-IT"/>
          <w14:ligatures w14:val="none"/>
        </w:rPr>
        <w:t xml:space="preserve">, Camilla </w:t>
      </w:r>
      <w:proofErr w:type="spellStart"/>
      <w:r w:rsidRPr="003E780D">
        <w:rPr>
          <w:rFonts w:ascii="Times New Roman" w:eastAsia="Times New Roman" w:hAnsi="Times New Roman" w:cs="Times New Roman"/>
          <w:b/>
          <w:kern w:val="0"/>
          <w:sz w:val="24"/>
          <w:lang w:eastAsia="it-IT"/>
          <w14:ligatures w14:val="none"/>
        </w:rPr>
        <w:t>Fagorzi</w:t>
      </w:r>
      <w:proofErr w:type="spellEnd"/>
      <w:r w:rsidRPr="003E780D">
        <w:rPr>
          <w:rFonts w:ascii="Times New Roman" w:eastAsia="Times New Roman" w:hAnsi="Times New Roman" w:cs="Times New Roman"/>
          <w:b/>
          <w:kern w:val="0"/>
          <w:sz w:val="24"/>
          <w:lang w:eastAsia="it-IT"/>
          <w14:ligatures w14:val="none"/>
        </w:rPr>
        <w:t xml:space="preserve">, Giovanni Bacci, Francesca Decorosi, Alice Checcucci, Gaio Cesare Pacini, Abdelkader </w:t>
      </w:r>
      <w:proofErr w:type="spellStart"/>
      <w:r w:rsidRPr="003E780D">
        <w:rPr>
          <w:rFonts w:ascii="Times New Roman" w:eastAsia="Times New Roman" w:hAnsi="Times New Roman" w:cs="Times New Roman"/>
          <w:b/>
          <w:kern w:val="0"/>
          <w:sz w:val="24"/>
          <w:lang w:eastAsia="it-IT"/>
          <w14:ligatures w14:val="none"/>
        </w:rPr>
        <w:t>Bekki</w:t>
      </w:r>
      <w:proofErr w:type="spellEnd"/>
      <w:r w:rsidRPr="003E780D">
        <w:rPr>
          <w:rFonts w:ascii="Times New Roman" w:eastAsia="Times New Roman" w:hAnsi="Times New Roman" w:cs="Times New Roman"/>
          <w:b/>
          <w:kern w:val="0"/>
          <w:sz w:val="24"/>
          <w:lang w:eastAsia="it-IT"/>
          <w14:ligatures w14:val="none"/>
        </w:rPr>
        <w:t xml:space="preserve">, Khalid Azim, </w:t>
      </w:r>
      <w:proofErr w:type="spellStart"/>
      <w:r w:rsidRPr="003E780D">
        <w:rPr>
          <w:rFonts w:ascii="Times New Roman" w:eastAsia="Times New Roman" w:hAnsi="Times New Roman" w:cs="Times New Roman"/>
          <w:b/>
          <w:kern w:val="0"/>
          <w:sz w:val="24"/>
          <w:lang w:eastAsia="it-IT"/>
          <w14:ligatures w14:val="none"/>
        </w:rPr>
        <w:t>Majida</w:t>
      </w:r>
      <w:proofErr w:type="spellEnd"/>
      <w:r w:rsidRPr="003E780D">
        <w:rPr>
          <w:rFonts w:ascii="Times New Roman" w:eastAsia="Times New Roman" w:hAnsi="Times New Roman" w:cs="Times New Roman"/>
          <w:b/>
          <w:kern w:val="0"/>
          <w:sz w:val="24"/>
          <w:lang w:eastAsia="it-IT"/>
          <w14:ligatures w14:val="none"/>
        </w:rPr>
        <w:t xml:space="preserve"> </w:t>
      </w:r>
      <w:proofErr w:type="spellStart"/>
      <w:r w:rsidRPr="003E780D">
        <w:rPr>
          <w:rFonts w:ascii="Times New Roman" w:eastAsia="Times New Roman" w:hAnsi="Times New Roman" w:cs="Times New Roman"/>
          <w:b/>
          <w:kern w:val="0"/>
          <w:sz w:val="24"/>
          <w:lang w:eastAsia="it-IT"/>
          <w14:ligatures w14:val="none"/>
        </w:rPr>
        <w:t>Hafidi</w:t>
      </w:r>
      <w:proofErr w:type="spellEnd"/>
      <w:r w:rsidRPr="003E780D">
        <w:rPr>
          <w:rFonts w:ascii="Times New Roman" w:eastAsia="Times New Roman" w:hAnsi="Times New Roman" w:cs="Times New Roman"/>
          <w:b/>
          <w:kern w:val="0"/>
          <w:sz w:val="24"/>
          <w:lang w:eastAsia="it-IT"/>
          <w14:ligatures w14:val="none"/>
        </w:rPr>
        <w:t>, Alessio Mengoni, Francesco Pini, Carlo Viti</w:t>
      </w:r>
    </w:p>
    <w:p w14:paraId="3E067C59" w14:textId="77777777" w:rsidR="003E780D" w:rsidRPr="003E780D" w:rsidRDefault="003E780D" w:rsidP="003E780D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lang w:eastAsia="it-IT"/>
          <w14:ligatures w14:val="none"/>
        </w:rPr>
      </w:pPr>
    </w:p>
    <w:p w14:paraId="3BB210C2" w14:textId="044A6363" w:rsidR="003E780D" w:rsidRPr="003E780D" w:rsidRDefault="003E780D" w:rsidP="003E780D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</w:pPr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it-IT"/>
          <w14:ligatures w14:val="none"/>
        </w:rPr>
        <w:t>1</w:t>
      </w:r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 xml:space="preserve"> Department of Agricultural, Food, Environmental and Forestry Sciences (DAGRI), University of Florence, I-50144 Firenze, Italy; </w:t>
      </w:r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it-IT"/>
          <w14:ligatures w14:val="none"/>
        </w:rPr>
        <w:t>2</w:t>
      </w:r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 xml:space="preserve"> </w:t>
      </w:r>
      <w:proofErr w:type="spellStart"/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>Genexpress</w:t>
      </w:r>
      <w:proofErr w:type="spellEnd"/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 xml:space="preserve"> Laboratory, Department of Agronomy, Food, Environmental and Forestry Sciences (DAGRI),</w:t>
      </w:r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it-IT"/>
          <w14:ligatures w14:val="none"/>
        </w:rPr>
        <w:t xml:space="preserve"> </w:t>
      </w:r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 xml:space="preserve">University of Florence, I-50019 Sesto Fiorentino, Italy; </w:t>
      </w:r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it-IT"/>
          <w14:ligatures w14:val="none"/>
        </w:rPr>
        <w:t>3</w:t>
      </w:r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 xml:space="preserve"> Department of Biology, University of Florence, I-50019 Sesto Fiorentino, Italy; </w:t>
      </w:r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it-IT"/>
          <w14:ligatures w14:val="none"/>
        </w:rPr>
        <w:t xml:space="preserve">4 </w:t>
      </w:r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 xml:space="preserve">Laboratory of Rhizobia Biotechnology and Plant Breeding, University Oran1, Es Senia 31000, Algeria; </w:t>
      </w:r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it-IT"/>
          <w14:ligatures w14:val="none"/>
        </w:rPr>
        <w:t>5</w:t>
      </w:r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 xml:space="preserve"> National Institute of Agricultural Research (INRA), Regional </w:t>
      </w:r>
      <w:proofErr w:type="spellStart"/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>Center</w:t>
      </w:r>
      <w:proofErr w:type="spellEnd"/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 xml:space="preserve"> of Agadir, </w:t>
      </w:r>
      <w:proofErr w:type="spellStart"/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>Inzegane</w:t>
      </w:r>
      <w:proofErr w:type="spellEnd"/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 xml:space="preserve"> </w:t>
      </w:r>
      <w:proofErr w:type="spellStart"/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>Principale</w:t>
      </w:r>
      <w:proofErr w:type="spellEnd"/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 xml:space="preserve">, Agadir CP 80350, Morocco; </w:t>
      </w:r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it-IT"/>
          <w14:ligatures w14:val="none"/>
        </w:rPr>
        <w:t xml:space="preserve">6 </w:t>
      </w:r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 xml:space="preserve">Department of Biology, Faculty of Science, Moulay Ismail University, </w:t>
      </w:r>
      <w:proofErr w:type="spellStart"/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>Zitoune</w:t>
      </w:r>
      <w:proofErr w:type="spellEnd"/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 xml:space="preserve"> </w:t>
      </w:r>
      <w:proofErr w:type="spellStart"/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>Meknés</w:t>
      </w:r>
      <w:proofErr w:type="spellEnd"/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 xml:space="preserve"> BP 11201, Morocco; </w:t>
      </w:r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it-IT"/>
          <w14:ligatures w14:val="none"/>
        </w:rPr>
        <w:t>7</w:t>
      </w:r>
      <w:r w:rsidRPr="003E780D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 xml:space="preserve"> Department of Biosciences, Biotechnology and Environment (DBBA), University of Bari - Aldo Moro, I-70125 Bari, Italy</w:t>
      </w:r>
    </w:p>
    <w:p w14:paraId="67BA7638" w14:textId="77777777" w:rsidR="00A92677" w:rsidRDefault="00A92677" w:rsidP="0093526E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A4D694F" w14:textId="093829D2" w:rsidR="00F126D3" w:rsidRDefault="00F126D3" w:rsidP="0093526E">
      <w:pPr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126D3">
        <w:rPr>
          <w:rFonts w:ascii="Times New Roman" w:hAnsi="Times New Roman" w:cs="Times New Roman"/>
          <w:sz w:val="24"/>
          <w:szCs w:val="24"/>
          <w:lang w:val="en-GB"/>
        </w:rPr>
        <w:t>Salinity is nowadays one of the largest constraints in agriculture impairing the legume-rhizobia symbiosis and in turn biological nitrogen fixation. Selecting NaCl-tolerant strains and improving native strains fitness under salt stress are key points to ameliorate rhizobium-legume symbiosis effectiveness under salt stress. Understanding the genetic basis of this complex phenotype offers promising targets for the selection of symbiotic systems adapted for saline soils.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92677" w:rsidRPr="00A92677">
        <w:rPr>
          <w:rFonts w:ascii="Times New Roman" w:hAnsi="Times New Roman" w:cs="Times New Roman"/>
          <w:sz w:val="24"/>
          <w:szCs w:val="24"/>
          <w:lang w:val="en-GB"/>
        </w:rPr>
        <w:t xml:space="preserve">To identify genes that might be responsible for salt resistance in </w:t>
      </w:r>
      <w:r w:rsidR="00A92677" w:rsidRPr="00A92677">
        <w:rPr>
          <w:rFonts w:ascii="Times New Roman" w:hAnsi="Times New Roman" w:cs="Times New Roman"/>
          <w:i/>
          <w:sz w:val="24"/>
          <w:szCs w:val="24"/>
          <w:lang w:val="en-GB"/>
        </w:rPr>
        <w:t xml:space="preserve">S. </w:t>
      </w:r>
      <w:proofErr w:type="spellStart"/>
      <w:r w:rsidR="00A92677" w:rsidRPr="00A92677">
        <w:rPr>
          <w:rFonts w:ascii="Times New Roman" w:hAnsi="Times New Roman" w:cs="Times New Roman"/>
          <w:i/>
          <w:sz w:val="24"/>
          <w:szCs w:val="24"/>
          <w:lang w:val="en-GB"/>
        </w:rPr>
        <w:t>meliloti</w:t>
      </w:r>
      <w:proofErr w:type="spellEnd"/>
      <w:r w:rsidR="00A92677" w:rsidRPr="00A92677">
        <w:rPr>
          <w:rFonts w:ascii="Times New Roman" w:hAnsi="Times New Roman" w:cs="Times New Roman"/>
          <w:sz w:val="24"/>
          <w:szCs w:val="24"/>
          <w:lang w:val="en-GB"/>
        </w:rPr>
        <w:t xml:space="preserve"> strains, we performed a</w:t>
      </w:r>
      <w:r w:rsidR="00A72B9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92677" w:rsidRPr="00A92677">
        <w:rPr>
          <w:rFonts w:ascii="Times New Roman" w:hAnsi="Times New Roman" w:cs="Times New Roman"/>
          <w:i/>
          <w:sz w:val="24"/>
          <w:szCs w:val="24"/>
          <w:lang w:val="en-GB"/>
        </w:rPr>
        <w:t>k</w:t>
      </w:r>
      <w:r w:rsidR="00A92677" w:rsidRPr="00A92677"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 w:rsidR="00A92677" w:rsidRPr="00A92677">
        <w:rPr>
          <w:rFonts w:ascii="Times New Roman" w:hAnsi="Times New Roman" w:cs="Times New Roman"/>
          <w:sz w:val="24"/>
          <w:szCs w:val="24"/>
          <w:lang w:val="en-GB"/>
        </w:rPr>
        <w:t>mer</w:t>
      </w:r>
      <w:proofErr w:type="spellEnd"/>
      <w:r w:rsidR="00A92677" w:rsidRPr="00A92677">
        <w:rPr>
          <w:rFonts w:ascii="Times New Roman" w:hAnsi="Times New Roman" w:cs="Times New Roman"/>
          <w:sz w:val="24"/>
          <w:szCs w:val="24"/>
          <w:lang w:val="en-GB"/>
        </w:rPr>
        <w:t xml:space="preserve">-based </w:t>
      </w:r>
      <w:r w:rsidR="005211E1">
        <w:rPr>
          <w:rFonts w:ascii="Times New Roman" w:hAnsi="Times New Roman" w:cs="Times New Roman"/>
          <w:sz w:val="24"/>
          <w:szCs w:val="24"/>
          <w:lang w:val="en-GB"/>
        </w:rPr>
        <w:t>GWA</w:t>
      </w:r>
      <w:r w:rsidR="00BA7C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92677" w:rsidRPr="00A92677">
        <w:rPr>
          <w:rFonts w:ascii="Times New Roman" w:hAnsi="Times New Roman" w:cs="Times New Roman"/>
          <w:sz w:val="24"/>
          <w:szCs w:val="24"/>
          <w:lang w:val="en-GB"/>
        </w:rPr>
        <w:t>analysis</w:t>
      </w:r>
      <w:r w:rsidR="006C3FE2">
        <w:rPr>
          <w:rFonts w:ascii="Times New Roman" w:hAnsi="Times New Roman" w:cs="Times New Roman"/>
          <w:sz w:val="24"/>
          <w:szCs w:val="24"/>
          <w:lang w:val="en-GB"/>
        </w:rPr>
        <w:t xml:space="preserve"> on a pool of </w:t>
      </w:r>
      <w:r w:rsidR="006C3FE2" w:rsidRPr="003E780D">
        <w:rPr>
          <w:rFonts w:ascii="Times New Roman" w:hAnsi="Times New Roman" w:cs="Times New Roman"/>
          <w:i/>
          <w:iCs/>
          <w:sz w:val="24"/>
          <w:szCs w:val="24"/>
          <w:lang w:val="en-US"/>
        </w:rPr>
        <w:t>de novo</w:t>
      </w:r>
      <w:r w:rsidR="006C3FE2" w:rsidRPr="003E780D">
        <w:rPr>
          <w:rFonts w:ascii="Times New Roman" w:hAnsi="Times New Roman" w:cs="Times New Roman"/>
          <w:sz w:val="24"/>
          <w:szCs w:val="24"/>
          <w:lang w:val="en-US"/>
        </w:rPr>
        <w:t>-sequenced</w:t>
      </w:r>
      <w:r w:rsidR="006C3F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60B6">
        <w:rPr>
          <w:rFonts w:ascii="Times New Roman" w:hAnsi="Times New Roman" w:cs="Times New Roman"/>
          <w:sz w:val="24"/>
          <w:szCs w:val="24"/>
          <w:lang w:val="en-US"/>
        </w:rPr>
        <w:t xml:space="preserve">and well-characterized </w:t>
      </w:r>
      <w:r w:rsidR="006C3FE2">
        <w:rPr>
          <w:rFonts w:ascii="Times New Roman" w:hAnsi="Times New Roman" w:cs="Times New Roman"/>
          <w:sz w:val="24"/>
          <w:szCs w:val="24"/>
          <w:lang w:val="en-US"/>
        </w:rPr>
        <w:t>strains</w:t>
      </w:r>
      <w:r w:rsidR="00A92677" w:rsidRPr="00A92677">
        <w:rPr>
          <w:rFonts w:ascii="Times New Roman" w:hAnsi="Times New Roman" w:cs="Times New Roman"/>
          <w:sz w:val="24"/>
          <w:szCs w:val="24"/>
          <w:lang w:val="en-GB"/>
        </w:rPr>
        <w:t xml:space="preserve">. In particular, the genome sequences of strains and the phenotypic matrix, gained with </w:t>
      </w:r>
      <w:r w:rsidR="00631C7F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8260B6" w:rsidRPr="008260B6">
        <w:rPr>
          <w:rFonts w:ascii="Times New Roman" w:hAnsi="Times New Roman" w:cs="Times New Roman"/>
          <w:sz w:val="24"/>
          <w:szCs w:val="24"/>
          <w:lang w:val="en-GB"/>
        </w:rPr>
        <w:t xml:space="preserve">thorough </w:t>
      </w:r>
      <w:r w:rsidR="008260B6" w:rsidRPr="00631C7F">
        <w:rPr>
          <w:rFonts w:ascii="Times New Roman" w:hAnsi="Times New Roman" w:cs="Times New Roman"/>
          <w:i/>
          <w:iCs/>
          <w:sz w:val="24"/>
          <w:szCs w:val="24"/>
          <w:lang w:val="en-GB"/>
        </w:rPr>
        <w:t>in vitro</w:t>
      </w:r>
      <w:r w:rsidR="008260B6" w:rsidRPr="008260B6">
        <w:rPr>
          <w:rFonts w:ascii="Times New Roman" w:hAnsi="Times New Roman" w:cs="Times New Roman"/>
          <w:sz w:val="24"/>
          <w:szCs w:val="24"/>
          <w:lang w:val="en-GB"/>
        </w:rPr>
        <w:t xml:space="preserve"> screening at progressively higher NaCl concentrations</w:t>
      </w:r>
      <w:r w:rsidR="00A92677" w:rsidRPr="00A92677">
        <w:rPr>
          <w:rFonts w:ascii="Times New Roman" w:hAnsi="Times New Roman" w:cs="Times New Roman"/>
          <w:sz w:val="24"/>
          <w:szCs w:val="24"/>
          <w:lang w:val="en-GB"/>
        </w:rPr>
        <w:t xml:space="preserve">, were used to pinpoint specific </w:t>
      </w:r>
      <w:r w:rsidR="00A92677" w:rsidRPr="00A92677">
        <w:rPr>
          <w:rFonts w:ascii="Times New Roman" w:hAnsi="Times New Roman" w:cs="Times New Roman"/>
          <w:i/>
          <w:sz w:val="24"/>
          <w:szCs w:val="24"/>
          <w:lang w:val="en-GB"/>
        </w:rPr>
        <w:t>k</w:t>
      </w:r>
      <w:r w:rsidR="00A92677" w:rsidRPr="00A92677"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 w:rsidR="00A92677" w:rsidRPr="00A92677">
        <w:rPr>
          <w:rFonts w:ascii="Times New Roman" w:hAnsi="Times New Roman" w:cs="Times New Roman"/>
          <w:sz w:val="24"/>
          <w:szCs w:val="24"/>
          <w:lang w:val="en-GB"/>
        </w:rPr>
        <w:t>mers</w:t>
      </w:r>
      <w:proofErr w:type="spellEnd"/>
      <w:r w:rsidR="00A92677" w:rsidRPr="00A92677">
        <w:rPr>
          <w:rFonts w:ascii="Times New Roman" w:hAnsi="Times New Roman" w:cs="Times New Roman"/>
          <w:sz w:val="24"/>
          <w:szCs w:val="24"/>
          <w:lang w:val="en-GB"/>
        </w:rPr>
        <w:t xml:space="preserve"> significantly associated with salt-</w:t>
      </w:r>
      <w:r w:rsidR="00631C7F">
        <w:rPr>
          <w:rFonts w:ascii="Times New Roman" w:hAnsi="Times New Roman" w:cs="Times New Roman"/>
          <w:sz w:val="24"/>
          <w:szCs w:val="24"/>
          <w:lang w:val="en-GB"/>
        </w:rPr>
        <w:t>tolerance</w:t>
      </w:r>
      <w:r w:rsidR="00A92677" w:rsidRPr="00A92677">
        <w:rPr>
          <w:rFonts w:ascii="Times New Roman" w:hAnsi="Times New Roman" w:cs="Times New Roman"/>
          <w:sz w:val="24"/>
          <w:szCs w:val="24"/>
          <w:lang w:val="en-GB"/>
        </w:rPr>
        <w:t xml:space="preserve"> phenotype. </w:t>
      </w:r>
      <w:r w:rsidR="00631C7F" w:rsidRPr="00631C7F">
        <w:rPr>
          <w:rFonts w:ascii="Times New Roman" w:hAnsi="Times New Roman" w:cs="Times New Roman"/>
          <w:sz w:val="24"/>
          <w:szCs w:val="24"/>
          <w:lang w:val="en-US"/>
        </w:rPr>
        <w:t xml:space="preserve">The retrieved </w:t>
      </w:r>
      <w:r w:rsidR="00631C7F" w:rsidRPr="008566BF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="00631C7F" w:rsidRPr="00631C7F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631C7F" w:rsidRPr="00631C7F">
        <w:rPr>
          <w:rFonts w:ascii="Times New Roman" w:hAnsi="Times New Roman" w:cs="Times New Roman"/>
          <w:sz w:val="24"/>
          <w:szCs w:val="24"/>
          <w:lang w:val="en-US"/>
        </w:rPr>
        <w:t>mers</w:t>
      </w:r>
      <w:proofErr w:type="spellEnd"/>
      <w:r w:rsidR="00631C7F" w:rsidRPr="00631C7F">
        <w:rPr>
          <w:rFonts w:ascii="Times New Roman" w:hAnsi="Times New Roman" w:cs="Times New Roman"/>
          <w:sz w:val="24"/>
          <w:szCs w:val="24"/>
          <w:lang w:val="en-US"/>
        </w:rPr>
        <w:t xml:space="preserve"> allowed us to identify </w:t>
      </w:r>
      <w:r w:rsidR="00631C7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31C7F" w:rsidRPr="00631C7F">
        <w:rPr>
          <w:rFonts w:ascii="Times New Roman" w:hAnsi="Times New Roman" w:cs="Times New Roman"/>
          <w:sz w:val="24"/>
          <w:szCs w:val="24"/>
          <w:lang w:val="en-US"/>
        </w:rPr>
        <w:t>everal loci associated with the variability in salt tolerance and involved in various processes</w:t>
      </w:r>
      <w:r w:rsidR="00631C7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31C7F" w:rsidRPr="00631C7F">
        <w:rPr>
          <w:rFonts w:ascii="Times New Roman" w:hAnsi="Times New Roman" w:cs="Times New Roman"/>
          <w:sz w:val="24"/>
          <w:szCs w:val="24"/>
          <w:lang w:val="en-US"/>
        </w:rPr>
        <w:t xml:space="preserve"> including cell wall organization</w:t>
      </w:r>
      <w:r w:rsidR="00631C7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31C7F" w:rsidRPr="00A92677">
        <w:rPr>
          <w:rFonts w:ascii="Times New Roman" w:hAnsi="Times New Roman" w:cs="Times New Roman"/>
          <w:sz w:val="24"/>
          <w:szCs w:val="24"/>
          <w:lang w:val="en-GB"/>
        </w:rPr>
        <w:t>peptidoglycan transport and degradation</w:t>
      </w:r>
      <w:r w:rsidR="00631C7F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631C7F" w:rsidRPr="00631C7F">
        <w:rPr>
          <w:rFonts w:ascii="Times New Roman" w:hAnsi="Times New Roman" w:cs="Times New Roman"/>
          <w:sz w:val="24"/>
          <w:szCs w:val="24"/>
          <w:lang w:val="en-US"/>
        </w:rPr>
        <w:t>, LPS biosynthesis, quorum sensing, and carbohydrate transport and metabolism</w:t>
      </w:r>
      <w:r w:rsidR="00631C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1C7F" w:rsidRPr="00A92677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631C7F">
        <w:rPr>
          <w:rFonts w:ascii="Times New Roman" w:hAnsi="Times New Roman" w:cs="Times New Roman"/>
          <w:sz w:val="24"/>
          <w:szCs w:val="24"/>
          <w:lang w:val="en-GB"/>
        </w:rPr>
        <w:t xml:space="preserve">as galactose metabolism, </w:t>
      </w:r>
      <w:r w:rsidR="00631C7F" w:rsidRPr="00A92677">
        <w:rPr>
          <w:rFonts w:ascii="Times New Roman" w:hAnsi="Times New Roman" w:cs="Times New Roman"/>
          <w:sz w:val="24"/>
          <w:szCs w:val="24"/>
          <w:lang w:val="en-GB"/>
        </w:rPr>
        <w:t>sorbitol biosynthesis, trehalose metabolic process, and cyclic-glucan synthesis)</w:t>
      </w:r>
      <w:r w:rsidR="00631C7F" w:rsidRPr="00631C7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72B95" w:rsidRPr="00CB7402">
        <w:rPr>
          <w:rFonts w:ascii="Times New Roman" w:hAnsi="Times New Roman" w:cs="Times New Roman"/>
          <w:sz w:val="24"/>
          <w:szCs w:val="24"/>
          <w:lang w:val="en-GB"/>
        </w:rPr>
        <w:t xml:space="preserve">To confirm the involvement of carbohydrates, metabolic profiling </w:t>
      </w:r>
      <w:r w:rsidR="00114F18" w:rsidRPr="00CB7402">
        <w:rPr>
          <w:rFonts w:ascii="Times New Roman" w:hAnsi="Times New Roman" w:cs="Times New Roman"/>
          <w:sz w:val="24"/>
          <w:szCs w:val="24"/>
          <w:lang w:val="en-GB"/>
        </w:rPr>
        <w:t>of salt-tolerant and salt-sensitive strains were recorded on different carbon sources in presence and absence of salt. Salt-tolerant strains showed broader abilities in carbon sources exploitation</w:t>
      </w:r>
      <w:r w:rsidR="00CB7402" w:rsidRPr="00CB7402">
        <w:rPr>
          <w:rFonts w:ascii="Times New Roman" w:hAnsi="Times New Roman" w:cs="Times New Roman"/>
          <w:sz w:val="24"/>
          <w:szCs w:val="24"/>
          <w:lang w:val="en-GB"/>
        </w:rPr>
        <w:t xml:space="preserve"> under salt stress, showing comparable kinetics in both conditions on </w:t>
      </w:r>
      <w:r w:rsidR="00CB7402" w:rsidRPr="00CB7402">
        <w:rPr>
          <w:rFonts w:ascii="Times New Roman" w:hAnsi="Times New Roman" w:cs="Times New Roman"/>
          <w:bCs/>
          <w:sz w:val="24"/>
          <w:szCs w:val="24"/>
          <w:lang w:val="en-GB"/>
        </w:rPr>
        <w:t>L-arabinose, D-arabinose, D-galactose and N-acetyl-D-Glucosamine</w:t>
      </w:r>
      <w:r w:rsidR="00CB740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sources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="002479CC" w:rsidRPr="002479CC">
        <w:rPr>
          <w:rFonts w:ascii="Times New Roman" w:hAnsi="Times New Roman" w:cs="Times New Roman"/>
          <w:bCs/>
          <w:sz w:val="24"/>
          <w:szCs w:val="24"/>
          <w:lang w:val="en-GB"/>
        </w:rPr>
        <w:t>and confirming some key genetic deter</w:t>
      </w:r>
      <w:r w:rsidR="002479CC">
        <w:rPr>
          <w:rFonts w:ascii="Times New Roman" w:hAnsi="Times New Roman" w:cs="Times New Roman"/>
          <w:bCs/>
          <w:sz w:val="24"/>
          <w:szCs w:val="24"/>
          <w:lang w:val="en-GB"/>
        </w:rPr>
        <w:t>m</w:t>
      </w:r>
      <w:r w:rsidR="002479CC" w:rsidRPr="002479CC">
        <w:rPr>
          <w:rFonts w:ascii="Times New Roman" w:hAnsi="Times New Roman" w:cs="Times New Roman"/>
          <w:bCs/>
          <w:sz w:val="24"/>
          <w:szCs w:val="24"/>
          <w:lang w:val="en-GB"/>
        </w:rPr>
        <w:t>inants previously detected</w:t>
      </w:r>
      <w:r w:rsidR="002479C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  <w:r w:rsidRPr="00F126D3">
        <w:rPr>
          <w:rFonts w:ascii="Times New Roman" w:hAnsi="Times New Roman" w:cs="Times New Roman"/>
          <w:bCs/>
          <w:sz w:val="24"/>
          <w:szCs w:val="24"/>
          <w:lang w:val="en-GB"/>
        </w:rPr>
        <w:t>Our study's findings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Pr="00F92CF2">
        <w:rPr>
          <w:rFonts w:ascii="Times New Roman" w:hAnsi="Times New Roman" w:cs="Times New Roman"/>
          <w:sz w:val="24"/>
          <w:szCs w:val="24"/>
          <w:lang w:val="en-US"/>
        </w:rPr>
        <w:t xml:space="preserve">new insights into </w:t>
      </w:r>
      <w:r w:rsidRPr="00114F18">
        <w:rPr>
          <w:rFonts w:ascii="Times New Roman" w:hAnsi="Times New Roman" w:cs="Times New Roman"/>
          <w:sz w:val="24"/>
          <w:szCs w:val="24"/>
          <w:lang w:val="en-US"/>
        </w:rPr>
        <w:t>the knowledge of the mechanisms of salt</w:t>
      </w:r>
      <w:r w:rsidRPr="00F92CF2">
        <w:rPr>
          <w:rFonts w:ascii="Times New Roman" w:hAnsi="Times New Roman" w:cs="Times New Roman"/>
          <w:sz w:val="24"/>
          <w:szCs w:val="24"/>
          <w:lang w:val="en-US"/>
        </w:rPr>
        <w:t xml:space="preserve"> tolerance in </w:t>
      </w:r>
      <w:r w:rsidRPr="00D8427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S. </w:t>
      </w:r>
      <w:proofErr w:type="spellStart"/>
      <w:r w:rsidRPr="00D84276">
        <w:rPr>
          <w:rFonts w:ascii="Times New Roman" w:hAnsi="Times New Roman" w:cs="Times New Roman"/>
          <w:i/>
          <w:iCs/>
          <w:sz w:val="24"/>
          <w:szCs w:val="24"/>
          <w:lang w:val="en-US"/>
        </w:rPr>
        <w:t>meliloti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Pr="00F126D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underscoring the multifaceted nature of salt tolerance in </w:t>
      </w:r>
      <w:r w:rsidRPr="002479CC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S. </w:t>
      </w:r>
      <w:proofErr w:type="spellStart"/>
      <w:r w:rsidRPr="002479CC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meliloti</w:t>
      </w:r>
      <w:proofErr w:type="spellEnd"/>
      <w:r w:rsidRPr="00F126D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</w:p>
    <w:p w14:paraId="7C6CF484" w14:textId="77777777" w:rsidR="00A92677" w:rsidRDefault="00A92677" w:rsidP="009352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A8889D" w14:textId="4A75F531" w:rsidR="003B071E" w:rsidRPr="003E780D" w:rsidRDefault="003B071E" w:rsidP="003E780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B071E" w:rsidRPr="003E78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80D"/>
    <w:rsid w:val="000713F5"/>
    <w:rsid w:val="000F36EC"/>
    <w:rsid w:val="000F7CFC"/>
    <w:rsid w:val="00114F18"/>
    <w:rsid w:val="002247EE"/>
    <w:rsid w:val="002479CC"/>
    <w:rsid w:val="003122CC"/>
    <w:rsid w:val="003673F1"/>
    <w:rsid w:val="003B071E"/>
    <w:rsid w:val="003E780D"/>
    <w:rsid w:val="005211E1"/>
    <w:rsid w:val="005D5CF5"/>
    <w:rsid w:val="005E1A0B"/>
    <w:rsid w:val="00605DAA"/>
    <w:rsid w:val="00631C7F"/>
    <w:rsid w:val="00676D27"/>
    <w:rsid w:val="006C3FE2"/>
    <w:rsid w:val="007626BE"/>
    <w:rsid w:val="007E0FF8"/>
    <w:rsid w:val="008260B6"/>
    <w:rsid w:val="008566BF"/>
    <w:rsid w:val="008D62EB"/>
    <w:rsid w:val="0093526E"/>
    <w:rsid w:val="0098232E"/>
    <w:rsid w:val="00A72B95"/>
    <w:rsid w:val="00A762AC"/>
    <w:rsid w:val="00A92677"/>
    <w:rsid w:val="00B529C9"/>
    <w:rsid w:val="00B56077"/>
    <w:rsid w:val="00BA7C2D"/>
    <w:rsid w:val="00C94DD4"/>
    <w:rsid w:val="00CB5E7A"/>
    <w:rsid w:val="00CB7402"/>
    <w:rsid w:val="00D45A72"/>
    <w:rsid w:val="00D6273C"/>
    <w:rsid w:val="00D84276"/>
    <w:rsid w:val="00E74712"/>
    <w:rsid w:val="00F126D3"/>
    <w:rsid w:val="00F76039"/>
    <w:rsid w:val="00F9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F16A"/>
  <w15:chartTrackingRefBased/>
  <w15:docId w15:val="{35A8F4D5-C38C-480F-A37B-10E18A08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E7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7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78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78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78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78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78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78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78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78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78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78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780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780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780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780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780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780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78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7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78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7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7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780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780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780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78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780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780D"/>
    <w:rPr>
      <w:b/>
      <w:bCs/>
      <w:smallCaps/>
      <w:color w:val="2F5496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3E780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E780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E780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E780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E780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5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526E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B560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bellabarba</dc:creator>
  <cp:keywords/>
  <dc:description/>
  <cp:lastModifiedBy>agnese bellabarba</cp:lastModifiedBy>
  <cp:revision>15</cp:revision>
  <dcterms:created xsi:type="dcterms:W3CDTF">2025-05-14T14:50:00Z</dcterms:created>
  <dcterms:modified xsi:type="dcterms:W3CDTF">2025-05-16T09:44:00Z</dcterms:modified>
</cp:coreProperties>
</file>