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A4689" w14:textId="77F26DDF" w:rsidR="006F09F1" w:rsidRPr="00C5764B" w:rsidRDefault="006F09F1" w:rsidP="006F09F1">
      <w:pPr>
        <w:rPr>
          <w:szCs w:val="24"/>
        </w:rPr>
      </w:pPr>
      <w:r w:rsidRPr="00C5764B">
        <w:rPr>
          <w:b/>
          <w:bCs w:val="0"/>
          <w:i/>
          <w:szCs w:val="24"/>
        </w:rPr>
        <w:t xml:space="preserve">The 1976 Friuli </w:t>
      </w:r>
      <w:r>
        <w:rPr>
          <w:b/>
          <w:bCs w:val="0"/>
          <w:i/>
          <w:szCs w:val="24"/>
        </w:rPr>
        <w:t>E</w:t>
      </w:r>
      <w:r w:rsidRPr="00C5764B">
        <w:rPr>
          <w:b/>
          <w:bCs w:val="0"/>
          <w:i/>
          <w:szCs w:val="24"/>
        </w:rPr>
        <w:t xml:space="preserve">arthquake and Yugoslav </w:t>
      </w:r>
      <w:r>
        <w:rPr>
          <w:b/>
          <w:bCs w:val="0"/>
          <w:i/>
          <w:szCs w:val="24"/>
        </w:rPr>
        <w:t>A</w:t>
      </w:r>
      <w:r w:rsidRPr="00C5764B">
        <w:rPr>
          <w:b/>
          <w:bCs w:val="0"/>
          <w:i/>
          <w:szCs w:val="24"/>
        </w:rPr>
        <w:t>id: Practi</w:t>
      </w:r>
      <w:r>
        <w:rPr>
          <w:b/>
          <w:bCs w:val="0"/>
          <w:i/>
          <w:szCs w:val="24"/>
        </w:rPr>
        <w:t>s</w:t>
      </w:r>
      <w:r w:rsidRPr="00C5764B">
        <w:rPr>
          <w:b/>
          <w:bCs w:val="0"/>
          <w:i/>
          <w:szCs w:val="24"/>
        </w:rPr>
        <w:t xml:space="preserve">ing </w:t>
      </w:r>
      <w:r>
        <w:rPr>
          <w:b/>
          <w:bCs w:val="0"/>
          <w:i/>
          <w:szCs w:val="24"/>
        </w:rPr>
        <w:t>S</w:t>
      </w:r>
      <w:r w:rsidRPr="00C5764B">
        <w:rPr>
          <w:b/>
          <w:bCs w:val="0"/>
          <w:i/>
          <w:szCs w:val="24"/>
        </w:rPr>
        <w:t xml:space="preserve">olidarity, </w:t>
      </w:r>
      <w:r>
        <w:rPr>
          <w:b/>
          <w:bCs w:val="0"/>
          <w:i/>
          <w:szCs w:val="24"/>
        </w:rPr>
        <w:t>R</w:t>
      </w:r>
      <w:r w:rsidRPr="00C5764B">
        <w:rPr>
          <w:b/>
          <w:bCs w:val="0"/>
          <w:i/>
          <w:szCs w:val="24"/>
        </w:rPr>
        <w:t xml:space="preserve">eframing </w:t>
      </w:r>
      <w:r>
        <w:rPr>
          <w:b/>
          <w:bCs w:val="0"/>
          <w:i/>
          <w:szCs w:val="24"/>
        </w:rPr>
        <w:t>H</w:t>
      </w:r>
      <w:r w:rsidRPr="00C5764B">
        <w:rPr>
          <w:b/>
          <w:bCs w:val="0"/>
          <w:i/>
          <w:szCs w:val="24"/>
        </w:rPr>
        <w:t xml:space="preserve">ierarchies and </w:t>
      </w:r>
      <w:r>
        <w:rPr>
          <w:b/>
          <w:bCs w:val="0"/>
          <w:i/>
          <w:szCs w:val="24"/>
        </w:rPr>
        <w:t>L</w:t>
      </w:r>
      <w:r w:rsidRPr="00C5764B">
        <w:rPr>
          <w:b/>
          <w:bCs w:val="0"/>
          <w:i/>
          <w:szCs w:val="24"/>
        </w:rPr>
        <w:t xml:space="preserve">ooking for </w:t>
      </w:r>
      <w:r>
        <w:rPr>
          <w:b/>
          <w:bCs w:val="0"/>
          <w:i/>
          <w:szCs w:val="24"/>
        </w:rPr>
        <w:t>N</w:t>
      </w:r>
      <w:r w:rsidRPr="00C5764B">
        <w:rPr>
          <w:b/>
          <w:bCs w:val="0"/>
          <w:i/>
          <w:szCs w:val="24"/>
        </w:rPr>
        <w:t xml:space="preserve">ew </w:t>
      </w:r>
      <w:r>
        <w:rPr>
          <w:b/>
          <w:bCs w:val="0"/>
          <w:i/>
          <w:szCs w:val="24"/>
        </w:rPr>
        <w:t>M</w:t>
      </w:r>
      <w:r w:rsidRPr="00C5764B">
        <w:rPr>
          <w:b/>
          <w:bCs w:val="0"/>
          <w:i/>
          <w:szCs w:val="24"/>
        </w:rPr>
        <w:t xml:space="preserve">arkets through </w:t>
      </w:r>
      <w:r>
        <w:rPr>
          <w:b/>
          <w:bCs w:val="0"/>
          <w:i/>
          <w:szCs w:val="24"/>
        </w:rPr>
        <w:t>H</w:t>
      </w:r>
      <w:r w:rsidRPr="00C5764B">
        <w:rPr>
          <w:b/>
          <w:bCs w:val="0"/>
          <w:i/>
          <w:szCs w:val="24"/>
        </w:rPr>
        <w:t xml:space="preserve">umanitarian </w:t>
      </w:r>
      <w:r>
        <w:rPr>
          <w:b/>
          <w:bCs w:val="0"/>
          <w:i/>
          <w:szCs w:val="24"/>
        </w:rPr>
        <w:t>D</w:t>
      </w:r>
      <w:r w:rsidRPr="00C5764B">
        <w:rPr>
          <w:b/>
          <w:bCs w:val="0"/>
          <w:i/>
          <w:szCs w:val="24"/>
        </w:rPr>
        <w:t>iplomacy</w:t>
      </w:r>
    </w:p>
    <w:p w14:paraId="1DC0DADA" w14:textId="77777777" w:rsidR="006F09F1" w:rsidRPr="00C5764B" w:rsidRDefault="006F09F1" w:rsidP="006F09F1">
      <w:pPr>
        <w:pStyle w:val="Titolo2"/>
        <w:spacing w:before="0"/>
        <w:rPr>
          <w:szCs w:val="24"/>
        </w:rPr>
      </w:pPr>
      <w:r w:rsidRPr="00C5764B">
        <w:rPr>
          <w:szCs w:val="24"/>
        </w:rPr>
        <w:t>Francesca Rolandi (University of Florence)</w:t>
      </w:r>
    </w:p>
    <w:p w14:paraId="0A9891F3" w14:textId="77777777" w:rsidR="006F09F1" w:rsidRPr="00C5764B" w:rsidRDefault="006F09F1" w:rsidP="006F09F1">
      <w:pPr>
        <w:rPr>
          <w:lang w:eastAsia="it-IT"/>
        </w:rPr>
      </w:pPr>
    </w:p>
    <w:p w14:paraId="1A23C5F6" w14:textId="662A756A" w:rsidR="006F09F1" w:rsidRPr="00C5764B" w:rsidRDefault="006F09F1" w:rsidP="006F09F1">
      <w:pPr>
        <w:rPr>
          <w:szCs w:val="24"/>
        </w:rPr>
      </w:pPr>
      <w:r w:rsidRPr="00C5764B">
        <w:rPr>
          <w:szCs w:val="24"/>
        </w:rPr>
        <w:t xml:space="preserve">Until recently, the flourishing literature on humanitarianism has hesitated to touch upon Cold War </w:t>
      </w:r>
      <w:r>
        <w:rPr>
          <w:szCs w:val="24"/>
        </w:rPr>
        <w:t>e</w:t>
      </w:r>
      <w:r w:rsidRPr="00C5764B">
        <w:rPr>
          <w:szCs w:val="24"/>
        </w:rPr>
        <w:t>astern Europe. Furthermore, studies on humanitarian initiatives and practices in state socialism ha</w:t>
      </w:r>
      <w:r>
        <w:rPr>
          <w:szCs w:val="24"/>
        </w:rPr>
        <w:t>ve</w:t>
      </w:r>
      <w:r w:rsidRPr="00C5764B">
        <w:rPr>
          <w:szCs w:val="24"/>
        </w:rPr>
        <w:t xml:space="preserve"> been focused either on the domestic dimension or the global reach of aid and development projects</w:t>
      </w:r>
      <w:r w:rsidRPr="00C5764B">
        <w:rPr>
          <w:rStyle w:val="Rimandonotaapidipagina"/>
          <w:szCs w:val="24"/>
        </w:rPr>
        <w:footnoteReference w:id="1"/>
      </w:r>
      <w:r w:rsidRPr="00C5764B">
        <w:rPr>
          <w:szCs w:val="24"/>
        </w:rPr>
        <w:t xml:space="preserve">. </w:t>
      </w:r>
      <w:proofErr w:type="gramStart"/>
      <w:r w:rsidRPr="00C5764B">
        <w:rPr>
          <w:szCs w:val="24"/>
        </w:rPr>
        <w:t>In particular, Yugoslavia’s</w:t>
      </w:r>
      <w:proofErr w:type="gramEnd"/>
      <w:r w:rsidRPr="00C5764B">
        <w:rPr>
          <w:szCs w:val="24"/>
        </w:rPr>
        <w:t xml:space="preserve"> engagement in the framework of the Non-Aligned Movement has recently been approached from a plurality of angles</w:t>
      </w:r>
      <w:r w:rsidRPr="00C5764B">
        <w:rPr>
          <w:rStyle w:val="Rimandonotaapidipagina"/>
          <w:szCs w:val="24"/>
        </w:rPr>
        <w:footnoteReference w:id="2"/>
      </w:r>
      <w:r w:rsidRPr="00C5764B">
        <w:rPr>
          <w:szCs w:val="24"/>
        </w:rPr>
        <w:t>. In this case, solidarity was fostered by political allegiances with countries and liberation movements which, at least declaratively, shared the main core values on which the Yugoslav political experiment la</w:t>
      </w:r>
      <w:r>
        <w:rPr>
          <w:szCs w:val="24"/>
        </w:rPr>
        <w:t>y</w:t>
      </w:r>
      <w:r w:rsidRPr="00C5764B">
        <w:rPr>
          <w:szCs w:val="24"/>
        </w:rPr>
        <w:t xml:space="preserve">. </w:t>
      </w:r>
      <w:r>
        <w:rPr>
          <w:szCs w:val="24"/>
        </w:rPr>
        <w:t>A</w:t>
      </w:r>
      <w:r w:rsidRPr="00C5764B">
        <w:rPr>
          <w:szCs w:val="24"/>
        </w:rPr>
        <w:t xml:space="preserve">ttention </w:t>
      </w:r>
      <w:r>
        <w:rPr>
          <w:szCs w:val="24"/>
        </w:rPr>
        <w:t>to</w:t>
      </w:r>
      <w:r w:rsidRPr="00C5764B">
        <w:rPr>
          <w:szCs w:val="24"/>
        </w:rPr>
        <w:t xml:space="preserve"> Yugoslavia as a donor has contributed </w:t>
      </w:r>
      <w:r>
        <w:rPr>
          <w:szCs w:val="24"/>
        </w:rPr>
        <w:t>to</w:t>
      </w:r>
      <w:r w:rsidRPr="00C5764B">
        <w:rPr>
          <w:szCs w:val="24"/>
        </w:rPr>
        <w:t xml:space="preserve"> reframing its position against the Cold War backdrop, which until recently had been obfuscated by the abrupt transformation of the post-Yugoslav countries in</w:t>
      </w:r>
      <w:r>
        <w:rPr>
          <w:szCs w:val="24"/>
        </w:rPr>
        <w:t>to</w:t>
      </w:r>
      <w:r w:rsidRPr="00C5764B">
        <w:rPr>
          <w:szCs w:val="24"/>
        </w:rPr>
        <w:t xml:space="preserve"> recipients of aid </w:t>
      </w:r>
      <w:r>
        <w:rPr>
          <w:szCs w:val="24"/>
        </w:rPr>
        <w:t>as of</w:t>
      </w:r>
      <w:r w:rsidRPr="00C5764B">
        <w:rPr>
          <w:szCs w:val="24"/>
        </w:rPr>
        <w:t xml:space="preserve"> the 1990s. However, it has also brought contradictions between professed internationalist postulates and existing race-driven biases</w:t>
      </w:r>
      <w:r>
        <w:rPr>
          <w:szCs w:val="24"/>
        </w:rPr>
        <w:t xml:space="preserve"> </w:t>
      </w:r>
      <w:r w:rsidRPr="00C5764B">
        <w:rPr>
          <w:szCs w:val="24"/>
        </w:rPr>
        <w:t>to the fore</w:t>
      </w:r>
      <w:r w:rsidRPr="00C5764B">
        <w:rPr>
          <w:rStyle w:val="Rimandonotaapidipagina"/>
          <w:szCs w:val="24"/>
        </w:rPr>
        <w:footnoteReference w:id="3"/>
      </w:r>
      <w:r w:rsidRPr="00C5764B">
        <w:rPr>
          <w:szCs w:val="24"/>
        </w:rPr>
        <w:t xml:space="preserve">. </w:t>
      </w:r>
    </w:p>
    <w:p w14:paraId="696E280F" w14:textId="4AA4593C" w:rsidR="006F09F1" w:rsidRPr="00C5764B" w:rsidRDefault="006F09F1" w:rsidP="006F09F1">
      <w:pPr>
        <w:rPr>
          <w:szCs w:val="24"/>
        </w:rPr>
      </w:pPr>
      <w:r w:rsidRPr="00C5764B">
        <w:rPr>
          <w:szCs w:val="24"/>
        </w:rPr>
        <w:t xml:space="preserve">This contribution aims </w:t>
      </w:r>
      <w:r>
        <w:rPr>
          <w:szCs w:val="24"/>
        </w:rPr>
        <w:t>to</w:t>
      </w:r>
      <w:r w:rsidRPr="00C5764B">
        <w:rPr>
          <w:szCs w:val="24"/>
        </w:rPr>
        <w:t xml:space="preserve"> refram</w:t>
      </w:r>
      <w:r>
        <w:rPr>
          <w:szCs w:val="24"/>
        </w:rPr>
        <w:t>e</w:t>
      </w:r>
      <w:r w:rsidRPr="00C5764B">
        <w:rPr>
          <w:szCs w:val="24"/>
        </w:rPr>
        <w:t xml:space="preserve"> Yugoslavia’s position within the international humanitarian arena by expanding the investigation of its solidarity networks. Aid was not dispatched exclusively along the North-South trajectory, but also circulated horizontally, between </w:t>
      </w:r>
      <w:r>
        <w:rPr>
          <w:szCs w:val="24"/>
        </w:rPr>
        <w:t>s</w:t>
      </w:r>
      <w:r w:rsidRPr="00C5764B">
        <w:rPr>
          <w:szCs w:val="24"/>
        </w:rPr>
        <w:t xml:space="preserve">outhern European countries. As this contribution will explore, Yugoslavia delivered relief to Italy after the 1976 earthquake which hit the border region of Friuli and played a role in the following reconstruction process. </w:t>
      </w:r>
    </w:p>
    <w:p w14:paraId="4203C268" w14:textId="067B4960" w:rsidR="006F09F1" w:rsidRPr="00C5764B" w:rsidRDefault="006F09F1" w:rsidP="006F09F1">
      <w:pPr>
        <w:rPr>
          <w:szCs w:val="24"/>
        </w:rPr>
      </w:pPr>
      <w:r w:rsidRPr="00C5764B">
        <w:rPr>
          <w:szCs w:val="24"/>
        </w:rPr>
        <w:t xml:space="preserve">This episode of humanitarian diplomacy was not the first case of cooperation between Italy and Yugoslavia. Since the 1960s, the two national Red Cross </w:t>
      </w:r>
      <w:r>
        <w:rPr>
          <w:szCs w:val="24"/>
        </w:rPr>
        <w:t>s</w:t>
      </w:r>
      <w:r w:rsidRPr="00C5764B">
        <w:rPr>
          <w:szCs w:val="24"/>
        </w:rPr>
        <w:t>ocieties had delivered emergency relief to the neighbouring country in the aftermath of natural disasters. The Yugoslav Red Cross sent aid to Italy after the flooding that affected Friuli and Florence in 1966 and the earthquake that hit Sicily in 1968, while the Italian Red Cross sent aid to Yugoslavia after the 1963 earthquake in Skopje, the 1964 flooding in Zagreb</w:t>
      </w:r>
      <w:r>
        <w:rPr>
          <w:szCs w:val="24"/>
        </w:rPr>
        <w:t xml:space="preserve"> and</w:t>
      </w:r>
      <w:r w:rsidRPr="00C5764B">
        <w:rPr>
          <w:szCs w:val="24"/>
        </w:rPr>
        <w:t xml:space="preserve"> the earthquakes in Debar (1967) and Banjaluka (1969)</w:t>
      </w:r>
      <w:r w:rsidRPr="00C5764B">
        <w:rPr>
          <w:rStyle w:val="Rimandonotaapidipagina"/>
          <w:szCs w:val="24"/>
        </w:rPr>
        <w:footnoteReference w:id="4"/>
      </w:r>
      <w:r w:rsidRPr="00C5764B">
        <w:rPr>
          <w:szCs w:val="24"/>
        </w:rPr>
        <w:t xml:space="preserve">. </w:t>
      </w:r>
    </w:p>
    <w:p w14:paraId="2545EC65" w14:textId="0AD6D595" w:rsidR="006F09F1" w:rsidRPr="00C5764B" w:rsidRDefault="006F09F1" w:rsidP="006F09F1">
      <w:pPr>
        <w:rPr>
          <w:szCs w:val="24"/>
        </w:rPr>
      </w:pPr>
      <w:r w:rsidRPr="00C5764B">
        <w:rPr>
          <w:szCs w:val="24"/>
        </w:rPr>
        <w:lastRenderedPageBreak/>
        <w:t xml:space="preserve">These instances of mutual solidarity </w:t>
      </w:r>
      <w:proofErr w:type="gramStart"/>
      <w:r w:rsidRPr="00C5764B">
        <w:rPr>
          <w:szCs w:val="24"/>
        </w:rPr>
        <w:t>have to</w:t>
      </w:r>
      <w:proofErr w:type="gramEnd"/>
      <w:r w:rsidRPr="00C5764B">
        <w:rPr>
          <w:szCs w:val="24"/>
        </w:rPr>
        <w:t xml:space="preserve"> be inserted in the new climate triggered by the improvement of relations between Italy and Yugoslavia after the decade of confrontation which followed the end of Second World War. Recent scholarship has shed light on the so-called «Adriatic détente», a definition that capture</w:t>
      </w:r>
      <w:r>
        <w:rPr>
          <w:szCs w:val="24"/>
        </w:rPr>
        <w:t>s</w:t>
      </w:r>
      <w:r w:rsidRPr="00C5764B">
        <w:rPr>
          <w:szCs w:val="24"/>
        </w:rPr>
        <w:t xml:space="preserve"> the rapprochement between Italy and Yugoslavia culminating in the 1975 </w:t>
      </w:r>
      <w:proofErr w:type="spellStart"/>
      <w:r w:rsidRPr="00C5764B">
        <w:rPr>
          <w:szCs w:val="24"/>
        </w:rPr>
        <w:t>Osimo</w:t>
      </w:r>
      <w:proofErr w:type="spellEnd"/>
      <w:r w:rsidRPr="00C5764B">
        <w:rPr>
          <w:szCs w:val="24"/>
        </w:rPr>
        <w:t xml:space="preserve"> Treaty, which marked a permanent settlement of the border issue</w:t>
      </w:r>
      <w:r w:rsidRPr="00C5764B">
        <w:rPr>
          <w:rStyle w:val="Rimandonotaapidipagina"/>
          <w:szCs w:val="24"/>
        </w:rPr>
        <w:footnoteReference w:id="5"/>
      </w:r>
      <w:r w:rsidRPr="00C5764B">
        <w:rPr>
          <w:szCs w:val="24"/>
        </w:rPr>
        <w:t>. After 1945, the two countries had been divided by oppos</w:t>
      </w:r>
      <w:r>
        <w:rPr>
          <w:szCs w:val="24"/>
        </w:rPr>
        <w:t>ing</w:t>
      </w:r>
      <w:r w:rsidRPr="00C5764B">
        <w:rPr>
          <w:szCs w:val="24"/>
        </w:rPr>
        <w:t xml:space="preserve"> territorial claims </w:t>
      </w:r>
      <w:r>
        <w:rPr>
          <w:szCs w:val="24"/>
        </w:rPr>
        <w:t>to</w:t>
      </w:r>
      <w:r w:rsidRPr="00C5764B">
        <w:rPr>
          <w:szCs w:val="24"/>
        </w:rPr>
        <w:t xml:space="preserve"> the Upper Adriatic territories, which threatened to escalate into an open confrontation in the early 1950s. However, from 1954, the temporary settlement of the border issue </w:t>
      </w:r>
      <w:r>
        <w:rPr>
          <w:szCs w:val="24"/>
        </w:rPr>
        <w:t>permitted</w:t>
      </w:r>
      <w:r w:rsidRPr="00C5764B">
        <w:rPr>
          <w:szCs w:val="24"/>
        </w:rPr>
        <w:t xml:space="preserve"> by the London Memorandum prompted a network of </w:t>
      </w:r>
      <w:r>
        <w:rPr>
          <w:szCs w:val="24"/>
        </w:rPr>
        <w:t xml:space="preserve">close </w:t>
      </w:r>
      <w:r w:rsidRPr="00C5764B">
        <w:rPr>
          <w:szCs w:val="24"/>
        </w:rPr>
        <w:t xml:space="preserve">economic, cultural and political ties which anticipated and paved the way to the political thaw. From the 1960s, the renewed cooperation benefitted from a more conciliative attitude of the centre-left Italian governments, as well as the need of the Yugoslav government to settle the territorial question as soon as possible </w:t>
      </w:r>
      <w:proofErr w:type="gramStart"/>
      <w:r>
        <w:rPr>
          <w:szCs w:val="24"/>
        </w:rPr>
        <w:t xml:space="preserve">in order </w:t>
      </w:r>
      <w:r w:rsidRPr="00C5764B">
        <w:rPr>
          <w:szCs w:val="24"/>
        </w:rPr>
        <w:t>to</w:t>
      </w:r>
      <w:proofErr w:type="gramEnd"/>
      <w:r w:rsidRPr="00C5764B">
        <w:rPr>
          <w:szCs w:val="24"/>
        </w:rPr>
        <w:t xml:space="preserve"> counter the discontent arising in Slovenia and Croatia. Even before the </w:t>
      </w:r>
      <w:proofErr w:type="spellStart"/>
      <w:r w:rsidRPr="00C5764B">
        <w:rPr>
          <w:szCs w:val="24"/>
        </w:rPr>
        <w:t>Osimo</w:t>
      </w:r>
      <w:proofErr w:type="spellEnd"/>
      <w:r w:rsidRPr="00C5764B">
        <w:rPr>
          <w:szCs w:val="24"/>
        </w:rPr>
        <w:t xml:space="preserve"> Treaty, the cooperation between Italy and Yugoslavia had reached such a level that it was customary to define </w:t>
      </w:r>
      <w:r>
        <w:rPr>
          <w:szCs w:val="24"/>
        </w:rPr>
        <w:t>their</w:t>
      </w:r>
      <w:r w:rsidRPr="00C5764B">
        <w:rPr>
          <w:szCs w:val="24"/>
        </w:rPr>
        <w:t xml:space="preserve"> bilateral relations as a «model of peaceful cooperation between two countries governed by different social and political systems belonging to the same geographical area»</w:t>
      </w:r>
      <w:r w:rsidRPr="00C5764B">
        <w:rPr>
          <w:rStyle w:val="Rimandonotaapidipagina"/>
          <w:szCs w:val="24"/>
        </w:rPr>
        <w:footnoteReference w:id="6"/>
      </w:r>
      <w:r w:rsidRPr="00C5764B">
        <w:rPr>
          <w:szCs w:val="24"/>
        </w:rPr>
        <w:t xml:space="preserve">. </w:t>
      </w:r>
    </w:p>
    <w:p w14:paraId="068AA5A7" w14:textId="3EAA24E1" w:rsidR="006F09F1" w:rsidRPr="00C5764B" w:rsidRDefault="006F09F1" w:rsidP="006F09F1">
      <w:pPr>
        <w:rPr>
          <w:szCs w:val="24"/>
        </w:rPr>
      </w:pPr>
      <w:r w:rsidRPr="00C5764B">
        <w:rPr>
          <w:szCs w:val="24"/>
        </w:rPr>
        <w:t xml:space="preserve">However, </w:t>
      </w:r>
      <w:r>
        <w:rPr>
          <w:szCs w:val="24"/>
        </w:rPr>
        <w:t>while</w:t>
      </w:r>
      <w:r w:rsidRPr="00C5764B">
        <w:rPr>
          <w:szCs w:val="24"/>
        </w:rPr>
        <w:t xml:space="preserve"> the </w:t>
      </w:r>
      <w:proofErr w:type="spellStart"/>
      <w:r w:rsidRPr="00C5764B">
        <w:rPr>
          <w:szCs w:val="24"/>
        </w:rPr>
        <w:t>Osimo</w:t>
      </w:r>
      <w:proofErr w:type="spellEnd"/>
      <w:r w:rsidRPr="00C5764B">
        <w:rPr>
          <w:szCs w:val="24"/>
        </w:rPr>
        <w:t xml:space="preserve"> Treaty might be seen as the height of the rapprochement process, it did not fulfil </w:t>
      </w:r>
      <w:proofErr w:type="gramStart"/>
      <w:r w:rsidRPr="00C5764B">
        <w:rPr>
          <w:szCs w:val="24"/>
        </w:rPr>
        <w:t xml:space="preserve">all </w:t>
      </w:r>
      <w:r>
        <w:rPr>
          <w:szCs w:val="24"/>
        </w:rPr>
        <w:t>of</w:t>
      </w:r>
      <w:proofErr w:type="gramEnd"/>
      <w:r>
        <w:rPr>
          <w:szCs w:val="24"/>
        </w:rPr>
        <w:t xml:space="preserve"> </w:t>
      </w:r>
      <w:r w:rsidRPr="00C5764B">
        <w:rPr>
          <w:szCs w:val="24"/>
        </w:rPr>
        <w:t xml:space="preserve">the many expectations that it had set in motion. </w:t>
      </w:r>
      <w:r>
        <w:rPr>
          <w:szCs w:val="24"/>
        </w:rPr>
        <w:t>Despite</w:t>
      </w:r>
      <w:r w:rsidRPr="00C5764B">
        <w:rPr>
          <w:szCs w:val="24"/>
        </w:rPr>
        <w:t xml:space="preserve"> the </w:t>
      </w:r>
      <w:r>
        <w:rPr>
          <w:szCs w:val="24"/>
        </w:rPr>
        <w:t xml:space="preserve">increasingly popular </w:t>
      </w:r>
      <w:r w:rsidRPr="00C5764B">
        <w:rPr>
          <w:szCs w:val="24"/>
        </w:rPr>
        <w:t xml:space="preserve">narrative on friendship between the two countries and the porousness of the Italo-Yugoslav border, from the mid-1970s onwards the relations between Italy and Yugoslavia experienced some setbacks, with mutual suspicion rising in both countries. </w:t>
      </w:r>
      <w:proofErr w:type="gramStart"/>
      <w:r w:rsidRPr="00C5764B">
        <w:rPr>
          <w:szCs w:val="24"/>
        </w:rPr>
        <w:t>In particular, in</w:t>
      </w:r>
      <w:proofErr w:type="gramEnd"/>
      <w:r w:rsidRPr="00C5764B">
        <w:rPr>
          <w:szCs w:val="24"/>
        </w:rPr>
        <w:t xml:space="preserve"> the Italian border zone, the rapprochement with Yugoslavia started being seen as a Trojan horse</w:t>
      </w:r>
      <w:r>
        <w:rPr>
          <w:szCs w:val="24"/>
        </w:rPr>
        <w:t>,</w:t>
      </w:r>
      <w:r w:rsidRPr="00C5764B">
        <w:rPr>
          <w:szCs w:val="24"/>
        </w:rPr>
        <w:t xml:space="preserve"> hid</w:t>
      </w:r>
      <w:r>
        <w:rPr>
          <w:szCs w:val="24"/>
        </w:rPr>
        <w:t>ing</w:t>
      </w:r>
      <w:r w:rsidRPr="00C5764B">
        <w:rPr>
          <w:szCs w:val="24"/>
        </w:rPr>
        <w:t xml:space="preserve"> irredentist purposes with respect to the Slovenian minority and increas</w:t>
      </w:r>
      <w:r>
        <w:rPr>
          <w:szCs w:val="24"/>
        </w:rPr>
        <w:t>ing</w:t>
      </w:r>
      <w:r w:rsidRPr="00C5764B">
        <w:rPr>
          <w:szCs w:val="24"/>
        </w:rPr>
        <w:t xml:space="preserve"> Yugoslav interference via economic initiatives</w:t>
      </w:r>
      <w:r w:rsidRPr="00C5764B">
        <w:rPr>
          <w:rStyle w:val="Rimandonotaapidipagina"/>
          <w:szCs w:val="24"/>
        </w:rPr>
        <w:footnoteReference w:id="7"/>
      </w:r>
      <w:r w:rsidRPr="00C5764B">
        <w:rPr>
          <w:szCs w:val="24"/>
        </w:rPr>
        <w:t xml:space="preserve">. </w:t>
      </w:r>
    </w:p>
    <w:p w14:paraId="1001ABAC" w14:textId="5522E4DB" w:rsidR="006F09F1" w:rsidRPr="00C5764B" w:rsidRDefault="006F09F1" w:rsidP="006F09F1">
      <w:pPr>
        <w:rPr>
          <w:szCs w:val="24"/>
        </w:rPr>
      </w:pPr>
      <w:r w:rsidRPr="00C5764B">
        <w:rPr>
          <w:szCs w:val="24"/>
        </w:rPr>
        <w:t xml:space="preserve">Less than six months had passed since the signing of the </w:t>
      </w:r>
      <w:proofErr w:type="spellStart"/>
      <w:r w:rsidRPr="00C5764B">
        <w:rPr>
          <w:szCs w:val="24"/>
        </w:rPr>
        <w:t>Osimo</w:t>
      </w:r>
      <w:proofErr w:type="spellEnd"/>
      <w:r w:rsidRPr="00C5764B">
        <w:rPr>
          <w:szCs w:val="24"/>
        </w:rPr>
        <w:t xml:space="preserve"> agreement, when a devastating earthquake hit the Friuli region and to a lesser extent, the Slovenian border zones. In </w:t>
      </w:r>
      <w:r>
        <w:rPr>
          <w:szCs w:val="24"/>
        </w:rPr>
        <w:t xml:space="preserve">a </w:t>
      </w:r>
      <w:r w:rsidRPr="00C5764B">
        <w:rPr>
          <w:szCs w:val="24"/>
        </w:rPr>
        <w:t xml:space="preserve">few minutes, </w:t>
      </w:r>
      <w:r>
        <w:rPr>
          <w:szCs w:val="24"/>
        </w:rPr>
        <w:t>just</w:t>
      </w:r>
      <w:r w:rsidRPr="00C5764B">
        <w:rPr>
          <w:szCs w:val="24"/>
        </w:rPr>
        <w:t xml:space="preserve"> short of one thousand </w:t>
      </w:r>
      <w:r>
        <w:rPr>
          <w:szCs w:val="24"/>
        </w:rPr>
        <w:t>people</w:t>
      </w:r>
      <w:r w:rsidRPr="00C5764B">
        <w:rPr>
          <w:szCs w:val="24"/>
        </w:rPr>
        <w:t xml:space="preserve"> lost their lives, and roughly </w:t>
      </w:r>
      <w:r>
        <w:rPr>
          <w:szCs w:val="24"/>
        </w:rPr>
        <w:t xml:space="preserve">eighty to one hundred thousand </w:t>
      </w:r>
      <w:r w:rsidRPr="00C5764B">
        <w:rPr>
          <w:szCs w:val="24"/>
        </w:rPr>
        <w:t>individuals lost their ho</w:t>
      </w:r>
      <w:r>
        <w:rPr>
          <w:szCs w:val="24"/>
        </w:rPr>
        <w:t>m</w:t>
      </w:r>
      <w:r w:rsidRPr="00C5764B">
        <w:rPr>
          <w:szCs w:val="24"/>
        </w:rPr>
        <w:t xml:space="preserve">es and belongings. The situation was made even more severe by a long </w:t>
      </w:r>
      <w:r>
        <w:rPr>
          <w:szCs w:val="24"/>
        </w:rPr>
        <w:t xml:space="preserve">series of </w:t>
      </w:r>
      <w:r w:rsidRPr="00C5764B">
        <w:rPr>
          <w:szCs w:val="24"/>
        </w:rPr>
        <w:t>aftershock</w:t>
      </w:r>
      <w:r>
        <w:rPr>
          <w:szCs w:val="24"/>
        </w:rPr>
        <w:t>s</w:t>
      </w:r>
      <w:r w:rsidRPr="00C5764B">
        <w:rPr>
          <w:szCs w:val="24"/>
        </w:rPr>
        <w:t xml:space="preserve"> which lasted several months. Although itself stricken by the earthquake in its </w:t>
      </w:r>
      <w:r>
        <w:rPr>
          <w:szCs w:val="24"/>
        </w:rPr>
        <w:t>n</w:t>
      </w:r>
      <w:r w:rsidRPr="00C5764B">
        <w:rPr>
          <w:szCs w:val="24"/>
        </w:rPr>
        <w:t>orth</w:t>
      </w:r>
      <w:r>
        <w:rPr>
          <w:szCs w:val="24"/>
        </w:rPr>
        <w:t>w</w:t>
      </w:r>
      <w:r w:rsidRPr="00C5764B">
        <w:rPr>
          <w:szCs w:val="24"/>
        </w:rPr>
        <w:t xml:space="preserve">estern bordering areas, Yugoslavia was among the first countries to engage in emergency aid. </w:t>
      </w:r>
      <w:r w:rsidRPr="00C5764B">
        <w:rPr>
          <w:szCs w:val="24"/>
        </w:rPr>
        <w:lastRenderedPageBreak/>
        <w:t xml:space="preserve">In the aftermath of the first </w:t>
      </w:r>
      <w:r>
        <w:rPr>
          <w:szCs w:val="24"/>
        </w:rPr>
        <w:t>quake</w:t>
      </w:r>
      <w:r w:rsidRPr="00C5764B">
        <w:rPr>
          <w:szCs w:val="24"/>
        </w:rPr>
        <w:t>, in May 1976, it delivered equipment such as tents, blankets, water</w:t>
      </w:r>
      <w:r>
        <w:rPr>
          <w:szCs w:val="24"/>
        </w:rPr>
        <w:t xml:space="preserve"> and</w:t>
      </w:r>
      <w:r w:rsidRPr="00C5764B">
        <w:rPr>
          <w:szCs w:val="24"/>
        </w:rPr>
        <w:t xml:space="preserve"> medications, as well as medical personnel. It was </w:t>
      </w:r>
      <w:proofErr w:type="gramStart"/>
      <w:r w:rsidRPr="00C5764B">
        <w:rPr>
          <w:szCs w:val="24"/>
        </w:rPr>
        <w:t>in particular the</w:t>
      </w:r>
      <w:proofErr w:type="gramEnd"/>
      <w:r w:rsidRPr="00C5764B">
        <w:rPr>
          <w:szCs w:val="24"/>
        </w:rPr>
        <w:t xml:space="preserve"> adjoining </w:t>
      </w:r>
      <w:r>
        <w:rPr>
          <w:szCs w:val="24"/>
        </w:rPr>
        <w:t>r</w:t>
      </w:r>
      <w:r w:rsidRPr="00C5764B">
        <w:rPr>
          <w:szCs w:val="24"/>
        </w:rPr>
        <w:t>epublics of Slovenia and Croatia, as well as the city of Skopje, which engaged firsthand. Not only goods, but knowledge circulated</w:t>
      </w:r>
      <w:r>
        <w:rPr>
          <w:szCs w:val="24"/>
        </w:rPr>
        <w:t xml:space="preserve"> too</w:t>
      </w:r>
      <w:r w:rsidRPr="00C5764B">
        <w:rPr>
          <w:szCs w:val="24"/>
        </w:rPr>
        <w:t>. A team of experts in seismology from Skopje w</w:t>
      </w:r>
      <w:r>
        <w:rPr>
          <w:szCs w:val="24"/>
        </w:rPr>
        <w:t>ere</w:t>
      </w:r>
      <w:r w:rsidRPr="00C5764B">
        <w:rPr>
          <w:szCs w:val="24"/>
        </w:rPr>
        <w:t xml:space="preserve"> sent to Italy to support the process of preserv</w:t>
      </w:r>
      <w:r>
        <w:rPr>
          <w:szCs w:val="24"/>
        </w:rPr>
        <w:t>ing</w:t>
      </w:r>
      <w:r w:rsidRPr="00C5764B">
        <w:rPr>
          <w:szCs w:val="24"/>
        </w:rPr>
        <w:t xml:space="preserve"> and securing the </w:t>
      </w:r>
      <w:r>
        <w:rPr>
          <w:szCs w:val="24"/>
        </w:rPr>
        <w:t>buildings</w:t>
      </w:r>
      <w:r w:rsidRPr="00C5764B">
        <w:rPr>
          <w:szCs w:val="24"/>
        </w:rPr>
        <w:t xml:space="preserve"> </w:t>
      </w:r>
      <w:r>
        <w:rPr>
          <w:szCs w:val="24"/>
        </w:rPr>
        <w:t>damaged</w:t>
      </w:r>
      <w:r w:rsidRPr="00C5764B">
        <w:rPr>
          <w:szCs w:val="24"/>
        </w:rPr>
        <w:t xml:space="preserve"> by the earthquake, a move aimed at symbolizing international plans for Skopje’s reconstruction and recovery. In fact, the Institute </w:t>
      </w:r>
      <w:r>
        <w:rPr>
          <w:szCs w:val="24"/>
        </w:rPr>
        <w:t>of</w:t>
      </w:r>
      <w:r w:rsidRPr="00C5764B">
        <w:rPr>
          <w:szCs w:val="24"/>
        </w:rPr>
        <w:t xml:space="preserve"> Earthquake Engineering and Engineering Seismology, created in 1965 on </w:t>
      </w:r>
      <w:r>
        <w:rPr>
          <w:szCs w:val="24"/>
        </w:rPr>
        <w:t>the</w:t>
      </w:r>
      <w:r w:rsidRPr="00C5764B">
        <w:rPr>
          <w:szCs w:val="24"/>
        </w:rPr>
        <w:t xml:space="preserve"> joint initiative of the </w:t>
      </w:r>
      <w:r w:rsidRPr="00A8187F">
        <w:rPr>
          <w:szCs w:val="24"/>
        </w:rPr>
        <w:t>United Nations Development Programme</w:t>
      </w:r>
      <w:r>
        <w:rPr>
          <w:szCs w:val="24"/>
        </w:rPr>
        <w:t xml:space="preserve"> (</w:t>
      </w:r>
      <w:r w:rsidRPr="00C5764B">
        <w:rPr>
          <w:szCs w:val="24"/>
        </w:rPr>
        <w:t>UNDP</w:t>
      </w:r>
      <w:r>
        <w:rPr>
          <w:szCs w:val="24"/>
        </w:rPr>
        <w:t>)</w:t>
      </w:r>
      <w:r w:rsidRPr="00C5764B">
        <w:rPr>
          <w:szCs w:val="24"/>
        </w:rPr>
        <w:t xml:space="preserve"> and </w:t>
      </w:r>
      <w:r w:rsidRPr="00A8187F">
        <w:rPr>
          <w:szCs w:val="24"/>
        </w:rPr>
        <w:t>United Nations Educational, Scientific and Cultural Organization</w:t>
      </w:r>
      <w:r>
        <w:rPr>
          <w:szCs w:val="24"/>
        </w:rPr>
        <w:t xml:space="preserve"> (</w:t>
      </w:r>
      <w:r w:rsidRPr="00C5764B">
        <w:rPr>
          <w:szCs w:val="24"/>
        </w:rPr>
        <w:t>UNESCO</w:t>
      </w:r>
      <w:r>
        <w:rPr>
          <w:szCs w:val="24"/>
        </w:rPr>
        <w:t>)</w:t>
      </w:r>
      <w:r w:rsidRPr="00C5764B">
        <w:rPr>
          <w:szCs w:val="24"/>
        </w:rPr>
        <w:t>, epitomized the principles of technological advancement, solidarity and self-reliance that were to be implemented in post-earthquake Skopje, thus drawing a lesson from the tragic event which had hit the city</w:t>
      </w:r>
      <w:r w:rsidRPr="00C5764B">
        <w:rPr>
          <w:rStyle w:val="Rimandonotaapidipagina"/>
          <w:szCs w:val="24"/>
        </w:rPr>
        <w:footnoteReference w:id="8"/>
      </w:r>
      <w:r w:rsidRPr="00C5764B">
        <w:rPr>
          <w:szCs w:val="24"/>
        </w:rPr>
        <w:t>.</w:t>
      </w:r>
    </w:p>
    <w:p w14:paraId="2B239B36" w14:textId="6762CDDA" w:rsidR="006F09F1" w:rsidRPr="00C5764B" w:rsidRDefault="006F09F1" w:rsidP="006F09F1">
      <w:pPr>
        <w:rPr>
          <w:szCs w:val="24"/>
        </w:rPr>
      </w:pPr>
      <w:r w:rsidRPr="00C5764B">
        <w:rPr>
          <w:szCs w:val="24"/>
        </w:rPr>
        <w:t xml:space="preserve">Against </w:t>
      </w:r>
      <w:r>
        <w:rPr>
          <w:szCs w:val="24"/>
        </w:rPr>
        <w:t>a</w:t>
      </w:r>
      <w:r w:rsidRPr="00C5764B">
        <w:rPr>
          <w:szCs w:val="24"/>
        </w:rPr>
        <w:t xml:space="preserve"> backdrop of broad international commitment, Yugoslav aid continued in the following phase with the delivery of prefabricated houses. Within a year from the earthquake, Yugoslav companies </w:t>
      </w:r>
      <w:r>
        <w:rPr>
          <w:szCs w:val="24"/>
        </w:rPr>
        <w:t xml:space="preserve">had </w:t>
      </w:r>
      <w:r w:rsidRPr="00C5764B">
        <w:rPr>
          <w:szCs w:val="24"/>
        </w:rPr>
        <w:t>supplied 3</w:t>
      </w:r>
      <w:r>
        <w:rPr>
          <w:szCs w:val="24"/>
        </w:rPr>
        <w:t>,</w:t>
      </w:r>
      <w:r w:rsidRPr="00C5764B">
        <w:rPr>
          <w:szCs w:val="24"/>
        </w:rPr>
        <w:t xml:space="preserve">400 prefabricated houses which provided temporary accommodation for circa </w:t>
      </w:r>
      <w:r>
        <w:rPr>
          <w:szCs w:val="24"/>
        </w:rPr>
        <w:t>ten thousand</w:t>
      </w:r>
      <w:r w:rsidRPr="00C5764B">
        <w:rPr>
          <w:szCs w:val="24"/>
        </w:rPr>
        <w:t xml:space="preserve"> individuals</w:t>
      </w:r>
      <w:r w:rsidRPr="00C5764B">
        <w:rPr>
          <w:rStyle w:val="Rimandonotaapidipagina"/>
          <w:szCs w:val="24"/>
        </w:rPr>
        <w:footnoteReference w:id="9"/>
      </w:r>
      <w:r w:rsidRPr="00C5764B">
        <w:rPr>
          <w:szCs w:val="24"/>
        </w:rPr>
        <w:t xml:space="preserve">. Traces of this endeavour are still present in the local toponymy, as witnessed by the </w:t>
      </w:r>
      <w:proofErr w:type="spellStart"/>
      <w:r w:rsidRPr="00C5764B">
        <w:rPr>
          <w:szCs w:val="24"/>
        </w:rPr>
        <w:t>Krivaja</w:t>
      </w:r>
      <w:proofErr w:type="spellEnd"/>
      <w:r w:rsidRPr="00C5764B">
        <w:rPr>
          <w:szCs w:val="24"/>
        </w:rPr>
        <w:t xml:space="preserve"> neighbourhood, named after the Bosnian company which delivered a </w:t>
      </w:r>
      <w:r>
        <w:rPr>
          <w:szCs w:val="24"/>
        </w:rPr>
        <w:t>sizeable</w:t>
      </w:r>
      <w:r w:rsidRPr="00C5764B">
        <w:rPr>
          <w:szCs w:val="24"/>
        </w:rPr>
        <w:t xml:space="preserve"> number of prefabricated houses. In August 1977, the Yugoslav government approved an additional donation of 60 million dinars (3 billion liras) for the reconstruction of destroyed </w:t>
      </w:r>
      <w:r>
        <w:rPr>
          <w:szCs w:val="24"/>
        </w:rPr>
        <w:t>buildings</w:t>
      </w:r>
      <w:r w:rsidRPr="00C5764B">
        <w:rPr>
          <w:rStyle w:val="Rimandonotaapidipagina"/>
          <w:szCs w:val="24"/>
        </w:rPr>
        <w:footnoteReference w:id="10"/>
      </w:r>
      <w:r w:rsidRPr="00C5764B">
        <w:rPr>
          <w:szCs w:val="24"/>
        </w:rPr>
        <w:t xml:space="preserve">. </w:t>
      </w:r>
    </w:p>
    <w:p w14:paraId="1006232A" w14:textId="16980F3C" w:rsidR="006F09F1" w:rsidRPr="00C5764B" w:rsidRDefault="006F09F1" w:rsidP="006F09F1">
      <w:pPr>
        <w:rPr>
          <w:szCs w:val="24"/>
        </w:rPr>
      </w:pPr>
      <w:r w:rsidRPr="00C5764B">
        <w:rPr>
          <w:szCs w:val="24"/>
        </w:rPr>
        <w:t xml:space="preserve">This instance of humanitarian diplomacy was presented by the Yugoslav authorities as the natural outcome of the new path of good neighbourly relations between Italy and Yugoslavia, as well as evidence of the gratitude prompted by the aid that Italy </w:t>
      </w:r>
      <w:r>
        <w:rPr>
          <w:szCs w:val="24"/>
        </w:rPr>
        <w:t xml:space="preserve">had </w:t>
      </w:r>
      <w:r w:rsidRPr="00C5764B">
        <w:rPr>
          <w:szCs w:val="24"/>
        </w:rPr>
        <w:t>sent to Skopje in 1963. However, its relevance was even more striking when seen in terms of hierarchies, and the attempts on both sides to negotiate the asymmetrical relation</w:t>
      </w:r>
      <w:r>
        <w:rPr>
          <w:szCs w:val="24"/>
        </w:rPr>
        <w:t>ship</w:t>
      </w:r>
      <w:r w:rsidRPr="00C5764B">
        <w:rPr>
          <w:szCs w:val="24"/>
        </w:rPr>
        <w:t xml:space="preserve"> traditionally attached to the donor-recipient pair</w:t>
      </w:r>
      <w:r>
        <w:rPr>
          <w:szCs w:val="24"/>
        </w:rPr>
        <w:t>ing</w:t>
      </w:r>
      <w:r w:rsidRPr="00C5764B">
        <w:rPr>
          <w:szCs w:val="24"/>
        </w:rPr>
        <w:t xml:space="preserve">. </w:t>
      </w:r>
    </w:p>
    <w:p w14:paraId="567FACBE" w14:textId="291E5C2C" w:rsidR="006F09F1" w:rsidRPr="00C5764B" w:rsidRDefault="006F09F1" w:rsidP="006F09F1">
      <w:pPr>
        <w:rPr>
          <w:szCs w:val="24"/>
        </w:rPr>
      </w:pPr>
      <w:r w:rsidRPr="00C5764B">
        <w:rPr>
          <w:szCs w:val="24"/>
        </w:rPr>
        <w:t xml:space="preserve">As a matter of international prestige, Yugoslavia strove to impose itself as a prominent aid giver. </w:t>
      </w:r>
      <w:r>
        <w:rPr>
          <w:szCs w:val="24"/>
        </w:rPr>
        <w:t>By providing</w:t>
      </w:r>
      <w:r w:rsidRPr="00C5764B">
        <w:rPr>
          <w:szCs w:val="24"/>
        </w:rPr>
        <w:t xml:space="preserve"> post-disaster relief, the country aimed to challenge an entanglement of political and nationalist prejudices. In</w:t>
      </w:r>
      <w:r>
        <w:rPr>
          <w:szCs w:val="24"/>
        </w:rPr>
        <w:t>deed</w:t>
      </w:r>
      <w:r w:rsidRPr="00C5764B">
        <w:rPr>
          <w:szCs w:val="24"/>
        </w:rPr>
        <w:t xml:space="preserve">, especially in </w:t>
      </w:r>
      <w:r>
        <w:rPr>
          <w:szCs w:val="24"/>
        </w:rPr>
        <w:t xml:space="preserve">the </w:t>
      </w:r>
      <w:r w:rsidRPr="00C5764B">
        <w:rPr>
          <w:szCs w:val="24"/>
        </w:rPr>
        <w:t>Italian border zones, the widespread image of low</w:t>
      </w:r>
      <w:r>
        <w:rPr>
          <w:szCs w:val="24"/>
        </w:rPr>
        <w:t xml:space="preserve"> </w:t>
      </w:r>
      <w:r w:rsidRPr="00C5764B">
        <w:rPr>
          <w:szCs w:val="24"/>
        </w:rPr>
        <w:t>quality</w:t>
      </w:r>
      <w:r>
        <w:rPr>
          <w:szCs w:val="24"/>
        </w:rPr>
        <w:t xml:space="preserve"> that was</w:t>
      </w:r>
      <w:r w:rsidRPr="00C5764B">
        <w:rPr>
          <w:szCs w:val="24"/>
        </w:rPr>
        <w:t xml:space="preserve"> attached to what was produced in state socialism intertwined with deeply rooted anti-Slavic prejudices. Sources show that Yugoslav</w:t>
      </w:r>
      <w:r>
        <w:rPr>
          <w:szCs w:val="24"/>
        </w:rPr>
        <w:t>ia</w:t>
      </w:r>
      <w:r w:rsidRPr="00C5764B">
        <w:rPr>
          <w:szCs w:val="24"/>
        </w:rPr>
        <w:t xml:space="preserve"> </w:t>
      </w:r>
      <w:r>
        <w:rPr>
          <w:szCs w:val="24"/>
        </w:rPr>
        <w:t xml:space="preserve">was </w:t>
      </w:r>
      <w:r w:rsidRPr="00C5764B">
        <w:rPr>
          <w:szCs w:val="24"/>
        </w:rPr>
        <w:t>preoccup</w:t>
      </w:r>
      <w:r>
        <w:rPr>
          <w:szCs w:val="24"/>
        </w:rPr>
        <w:t xml:space="preserve">ied </w:t>
      </w:r>
      <w:r w:rsidRPr="00C5764B">
        <w:rPr>
          <w:szCs w:val="24"/>
        </w:rPr>
        <w:t xml:space="preserve">not only </w:t>
      </w:r>
      <w:r>
        <w:rPr>
          <w:szCs w:val="24"/>
        </w:rPr>
        <w:t>with delivering effective</w:t>
      </w:r>
      <w:r w:rsidRPr="00C5764B">
        <w:rPr>
          <w:szCs w:val="24"/>
        </w:rPr>
        <w:t xml:space="preserve"> aid but</w:t>
      </w:r>
      <w:r>
        <w:rPr>
          <w:szCs w:val="24"/>
        </w:rPr>
        <w:t xml:space="preserve"> also</w:t>
      </w:r>
      <w:r w:rsidRPr="00C5764B">
        <w:rPr>
          <w:szCs w:val="24"/>
        </w:rPr>
        <w:t xml:space="preserve"> </w:t>
      </w:r>
      <w:r>
        <w:rPr>
          <w:szCs w:val="24"/>
        </w:rPr>
        <w:t>with its workers leaving a</w:t>
      </w:r>
      <w:r w:rsidRPr="00C5764B">
        <w:rPr>
          <w:szCs w:val="24"/>
        </w:rPr>
        <w:t xml:space="preserve"> positive impression. A report from the Yugoslav consulate in </w:t>
      </w:r>
      <w:r w:rsidRPr="00C5764B">
        <w:rPr>
          <w:szCs w:val="24"/>
        </w:rPr>
        <w:lastRenderedPageBreak/>
        <w:t xml:space="preserve">Trieste praised the fact that </w:t>
      </w:r>
      <w:r>
        <w:rPr>
          <w:szCs w:val="24"/>
        </w:rPr>
        <w:t>despite there being</w:t>
      </w:r>
      <w:r w:rsidRPr="00C5764B">
        <w:rPr>
          <w:szCs w:val="24"/>
        </w:rPr>
        <w:t xml:space="preserve"> over </w:t>
      </w:r>
      <w:r>
        <w:rPr>
          <w:szCs w:val="24"/>
        </w:rPr>
        <w:t>one thousand five hundred</w:t>
      </w:r>
      <w:r w:rsidRPr="00C5764B">
        <w:rPr>
          <w:szCs w:val="24"/>
        </w:rPr>
        <w:t xml:space="preserve"> workers</w:t>
      </w:r>
      <w:r>
        <w:rPr>
          <w:szCs w:val="24"/>
        </w:rPr>
        <w:t xml:space="preserve"> </w:t>
      </w:r>
      <w:proofErr w:type="gramStart"/>
      <w:r w:rsidRPr="00C5764B">
        <w:rPr>
          <w:szCs w:val="24"/>
        </w:rPr>
        <w:t>in the area of</w:t>
      </w:r>
      <w:proofErr w:type="gramEnd"/>
      <w:r w:rsidRPr="00C5764B">
        <w:rPr>
          <w:szCs w:val="24"/>
        </w:rPr>
        <w:t xml:space="preserve"> </w:t>
      </w:r>
      <w:proofErr w:type="spellStart"/>
      <w:r w:rsidRPr="00C5764B">
        <w:rPr>
          <w:szCs w:val="24"/>
        </w:rPr>
        <w:t>Faedis</w:t>
      </w:r>
      <w:proofErr w:type="spellEnd"/>
      <w:r w:rsidRPr="00C5764B">
        <w:rPr>
          <w:szCs w:val="24"/>
        </w:rPr>
        <w:t xml:space="preserve">, no negative remark had been reported on their behaviour. As the Yugoslav consul in Trieste put it, «In this way, with their civilized and friendly behaviour, the Yugoslav workers had confuted any rumour about </w:t>
      </w:r>
      <w:proofErr w:type="spellStart"/>
      <w:r w:rsidRPr="00C5764B">
        <w:rPr>
          <w:i/>
          <w:szCs w:val="24"/>
        </w:rPr>
        <w:t>balkanci</w:t>
      </w:r>
      <w:proofErr w:type="spellEnd"/>
      <w:r w:rsidRPr="00C5764B">
        <w:rPr>
          <w:szCs w:val="24"/>
        </w:rPr>
        <w:t xml:space="preserve"> and gave an invaluable contribution to the affirmation of our country»</w:t>
      </w:r>
      <w:r w:rsidRPr="00C5764B">
        <w:rPr>
          <w:rStyle w:val="Rimandonotaapidipagina"/>
          <w:szCs w:val="24"/>
        </w:rPr>
        <w:footnoteReference w:id="11"/>
      </w:r>
      <w:r w:rsidRPr="00C5764B">
        <w:rPr>
          <w:szCs w:val="24"/>
        </w:rPr>
        <w:t xml:space="preserve">. </w:t>
      </w:r>
    </w:p>
    <w:p w14:paraId="7B12CE7C" w14:textId="4D6B39C2" w:rsidR="006F09F1" w:rsidRPr="00C5764B" w:rsidRDefault="006F09F1" w:rsidP="006F09F1">
      <w:pPr>
        <w:rPr>
          <w:szCs w:val="24"/>
        </w:rPr>
      </w:pPr>
      <w:r w:rsidRPr="00C5764B">
        <w:rPr>
          <w:szCs w:val="24"/>
        </w:rPr>
        <w:t xml:space="preserve">However, the Yugoslav aid acquired additional meaning when zooming in from a state-to-state to a regional perspective. In fact, as some of the earthquake-stricken areas, such as the </w:t>
      </w:r>
      <w:proofErr w:type="spellStart"/>
      <w:r w:rsidRPr="00C5764B">
        <w:rPr>
          <w:szCs w:val="24"/>
        </w:rPr>
        <w:t>Natisone</w:t>
      </w:r>
      <w:proofErr w:type="spellEnd"/>
      <w:r w:rsidRPr="00C5764B">
        <w:rPr>
          <w:szCs w:val="24"/>
        </w:rPr>
        <w:t xml:space="preserve"> valley, were inhabited by ethnic Slovenes, the reconstruction process became a Slovenian matter within the Yugoslav Federation, with the Republic of Slovenia – and the Yugoslav consulate in Trieste as its emissary – acting as a kin-state, and the organizations of the Slovenian minority as on-the-ground actors. Plans for the reconstruction ranged from the rebuilding of destroyed infrastructures to the erection of cultural facilities </w:t>
      </w:r>
      <w:r>
        <w:rPr>
          <w:szCs w:val="24"/>
        </w:rPr>
        <w:t>for</w:t>
      </w:r>
      <w:r w:rsidRPr="00C5764B">
        <w:rPr>
          <w:szCs w:val="24"/>
        </w:rPr>
        <w:t xml:space="preserve"> the Slovenian population. In this case, aid was seen as an opportunity to foster the presence of the Slovenian minority in the public space. Speaking at a ceremony in San Pietro </w:t>
      </w:r>
      <w:r>
        <w:rPr>
          <w:szCs w:val="24"/>
        </w:rPr>
        <w:t>al</w:t>
      </w:r>
      <w:r w:rsidRPr="00C5764B">
        <w:rPr>
          <w:szCs w:val="24"/>
        </w:rPr>
        <w:t xml:space="preserve"> </w:t>
      </w:r>
      <w:proofErr w:type="spellStart"/>
      <w:r w:rsidRPr="00C5764B">
        <w:rPr>
          <w:szCs w:val="24"/>
        </w:rPr>
        <w:t>Natisone</w:t>
      </w:r>
      <w:proofErr w:type="spellEnd"/>
      <w:r w:rsidRPr="00C5764B">
        <w:rPr>
          <w:szCs w:val="24"/>
        </w:rPr>
        <w:t xml:space="preserve"> (</w:t>
      </w:r>
      <w:proofErr w:type="spellStart"/>
      <w:r w:rsidRPr="00C5764B">
        <w:rPr>
          <w:szCs w:val="24"/>
        </w:rPr>
        <w:t>Špeter</w:t>
      </w:r>
      <w:proofErr w:type="spellEnd"/>
      <w:r w:rsidRPr="00C5764B">
        <w:rPr>
          <w:szCs w:val="24"/>
        </w:rPr>
        <w:t>), a local recipient of a prefabricated house stated in the local Slovenian dialect that th</w:t>
      </w:r>
      <w:r>
        <w:rPr>
          <w:szCs w:val="24"/>
        </w:rPr>
        <w:t>is</w:t>
      </w:r>
      <w:r w:rsidRPr="00C5764B">
        <w:rPr>
          <w:szCs w:val="24"/>
        </w:rPr>
        <w:t xml:space="preserve"> «act of the people and the </w:t>
      </w:r>
      <w:r w:rsidRPr="00F0301A">
        <w:rPr>
          <w:szCs w:val="24"/>
        </w:rPr>
        <w:t>e</w:t>
      </w:r>
      <w:r w:rsidRPr="00C5764B">
        <w:rPr>
          <w:szCs w:val="24"/>
        </w:rPr>
        <w:t xml:space="preserve">xecutive </w:t>
      </w:r>
      <w:r w:rsidRPr="00F0301A">
        <w:rPr>
          <w:szCs w:val="24"/>
        </w:rPr>
        <w:t>co</w:t>
      </w:r>
      <w:r w:rsidRPr="00C5764B">
        <w:rPr>
          <w:szCs w:val="24"/>
        </w:rPr>
        <w:t>mmittee of the Republic of Slovenia represented one step forward in the national awakening of the population»</w:t>
      </w:r>
      <w:r w:rsidRPr="00C5764B">
        <w:rPr>
          <w:rStyle w:val="Rimandonotaapidipagina"/>
          <w:szCs w:val="24"/>
        </w:rPr>
        <w:footnoteReference w:id="12"/>
      </w:r>
      <w:r w:rsidRPr="00C5764B">
        <w:rPr>
          <w:szCs w:val="24"/>
        </w:rPr>
        <w:t>.</w:t>
      </w:r>
      <w:r>
        <w:rPr>
          <w:szCs w:val="24"/>
        </w:rPr>
        <w:t xml:space="preserve"> </w:t>
      </w:r>
      <w:r w:rsidRPr="00C5764B">
        <w:rPr>
          <w:szCs w:val="24"/>
        </w:rPr>
        <w:t xml:space="preserve">The idea of strengthening the relations with the Slovenian minority through Yugoslav humanitarian engagement raised concerns among the Italian authorities, who strove to hold the reins of </w:t>
      </w:r>
      <w:r>
        <w:rPr>
          <w:szCs w:val="24"/>
        </w:rPr>
        <w:t xml:space="preserve">the </w:t>
      </w:r>
      <w:r w:rsidRPr="00C5764B">
        <w:rPr>
          <w:szCs w:val="24"/>
        </w:rPr>
        <w:t xml:space="preserve">aid and decide where it </w:t>
      </w:r>
      <w:r>
        <w:rPr>
          <w:szCs w:val="24"/>
        </w:rPr>
        <w:t>was</w:t>
      </w:r>
      <w:r w:rsidRPr="00C5764B">
        <w:rPr>
          <w:szCs w:val="24"/>
        </w:rPr>
        <w:t xml:space="preserve"> to be allocated</w:t>
      </w:r>
      <w:r w:rsidRPr="00C5764B">
        <w:rPr>
          <w:rStyle w:val="Rimandonotaapidipagina"/>
          <w:szCs w:val="24"/>
        </w:rPr>
        <w:footnoteReference w:id="13"/>
      </w:r>
      <w:r w:rsidRPr="00C5764B">
        <w:rPr>
          <w:szCs w:val="24"/>
        </w:rPr>
        <w:t xml:space="preserve">. </w:t>
      </w:r>
    </w:p>
    <w:p w14:paraId="1B88669B" w14:textId="5C257D68" w:rsidR="006F09F1" w:rsidRPr="00C5764B" w:rsidRDefault="006F09F1" w:rsidP="006F09F1">
      <w:pPr>
        <w:rPr>
          <w:szCs w:val="24"/>
        </w:rPr>
      </w:pPr>
      <w:r w:rsidRPr="00C5764B">
        <w:rPr>
          <w:szCs w:val="24"/>
        </w:rPr>
        <w:t xml:space="preserve">On both sides, political and economic preoccupations went hand in hand. In Italy, Yugoslav intervention was feared not only in political terms, but also </w:t>
      </w:r>
      <w:r>
        <w:rPr>
          <w:szCs w:val="24"/>
        </w:rPr>
        <w:t>as</w:t>
      </w:r>
      <w:r w:rsidRPr="00C5764B">
        <w:rPr>
          <w:szCs w:val="24"/>
        </w:rPr>
        <w:t xml:space="preserve"> economic interference. In</w:t>
      </w:r>
      <w:r>
        <w:rPr>
          <w:szCs w:val="24"/>
        </w:rPr>
        <w:t>deed</w:t>
      </w:r>
      <w:r w:rsidRPr="00C5764B">
        <w:rPr>
          <w:szCs w:val="24"/>
        </w:rPr>
        <w:t xml:space="preserve">, </w:t>
      </w:r>
      <w:r>
        <w:rPr>
          <w:szCs w:val="24"/>
        </w:rPr>
        <w:t xml:space="preserve">right </w:t>
      </w:r>
      <w:r w:rsidRPr="00C5764B">
        <w:rPr>
          <w:szCs w:val="24"/>
        </w:rPr>
        <w:t xml:space="preserve">from </w:t>
      </w:r>
      <w:r>
        <w:rPr>
          <w:szCs w:val="24"/>
        </w:rPr>
        <w:t>the start</w:t>
      </w:r>
      <w:r w:rsidRPr="00C5764B">
        <w:rPr>
          <w:szCs w:val="24"/>
        </w:rPr>
        <w:t xml:space="preserve">, aid to </w:t>
      </w:r>
      <w:r>
        <w:rPr>
          <w:szCs w:val="24"/>
        </w:rPr>
        <w:t xml:space="preserve">the </w:t>
      </w:r>
      <w:r w:rsidRPr="00C5764B">
        <w:rPr>
          <w:szCs w:val="24"/>
        </w:rPr>
        <w:t>earthquake-</w:t>
      </w:r>
      <w:r>
        <w:rPr>
          <w:szCs w:val="24"/>
        </w:rPr>
        <w:t>hit</w:t>
      </w:r>
      <w:r w:rsidRPr="00C5764B">
        <w:rPr>
          <w:szCs w:val="24"/>
        </w:rPr>
        <w:t xml:space="preserve"> areas of Friuli was not detached from pragmatic reasoning. In 1977, the Yugoslav consulate in Trieste viewed it as a tool to </w:t>
      </w:r>
      <w:proofErr w:type="gramStart"/>
      <w:r w:rsidRPr="00C5764B">
        <w:rPr>
          <w:szCs w:val="24"/>
        </w:rPr>
        <w:t>open up</w:t>
      </w:r>
      <w:proofErr w:type="gramEnd"/>
      <w:r w:rsidRPr="00C5764B">
        <w:rPr>
          <w:szCs w:val="24"/>
        </w:rPr>
        <w:t xml:space="preserve"> future economic opportunities for Yugoslav companies in the Italian border area</w:t>
      </w:r>
      <w:r w:rsidRPr="00C5764B">
        <w:rPr>
          <w:rStyle w:val="Rimandonotaapidipagina"/>
          <w:szCs w:val="24"/>
        </w:rPr>
        <w:footnoteReference w:id="14"/>
      </w:r>
      <w:r w:rsidRPr="00C5764B">
        <w:rPr>
          <w:szCs w:val="24"/>
        </w:rPr>
        <w:t>. Although a thorough investigation would be needed</w:t>
      </w:r>
      <w:r>
        <w:rPr>
          <w:szCs w:val="24"/>
        </w:rPr>
        <w:t xml:space="preserve"> into this issue</w:t>
      </w:r>
      <w:r w:rsidRPr="00C5764B">
        <w:rPr>
          <w:szCs w:val="24"/>
        </w:rPr>
        <w:t xml:space="preserve">, it seems that the </w:t>
      </w:r>
      <w:r>
        <w:rPr>
          <w:szCs w:val="24"/>
        </w:rPr>
        <w:t>continuing</w:t>
      </w:r>
      <w:r w:rsidRPr="00C5764B">
        <w:rPr>
          <w:szCs w:val="24"/>
        </w:rPr>
        <w:t xml:space="preserve"> Yugoslav presence </w:t>
      </w:r>
      <w:r>
        <w:rPr>
          <w:szCs w:val="24"/>
        </w:rPr>
        <w:t>on</w:t>
      </w:r>
      <w:r w:rsidRPr="00C5764B">
        <w:rPr>
          <w:szCs w:val="24"/>
        </w:rPr>
        <w:t xml:space="preserve"> the Friuli economic landscape </w:t>
      </w:r>
      <w:r>
        <w:rPr>
          <w:szCs w:val="24"/>
        </w:rPr>
        <w:t>w</w:t>
      </w:r>
      <w:r w:rsidRPr="00C5764B">
        <w:rPr>
          <w:szCs w:val="24"/>
        </w:rPr>
        <w:t xml:space="preserve">as a legacy of the earthquake, even beyond the original intentions. This was especially the case of the informal labour market, with numerous cross-border workers employed in </w:t>
      </w:r>
      <w:r>
        <w:rPr>
          <w:szCs w:val="24"/>
        </w:rPr>
        <w:t>the rebuilding</w:t>
      </w:r>
      <w:r w:rsidRPr="00C5764B">
        <w:rPr>
          <w:szCs w:val="24"/>
        </w:rPr>
        <w:t xml:space="preserve"> work</w:t>
      </w:r>
      <w:r w:rsidRPr="00C5764B">
        <w:rPr>
          <w:rStyle w:val="Rimandonotaapidipagina"/>
          <w:szCs w:val="24"/>
        </w:rPr>
        <w:footnoteReference w:id="15"/>
      </w:r>
      <w:r w:rsidRPr="00C5764B">
        <w:rPr>
          <w:szCs w:val="24"/>
        </w:rPr>
        <w:t>. Nonetheless, the Italian authorities</w:t>
      </w:r>
      <w:r>
        <w:rPr>
          <w:szCs w:val="24"/>
        </w:rPr>
        <w:t>’</w:t>
      </w:r>
      <w:r w:rsidRPr="00C5764B">
        <w:rPr>
          <w:szCs w:val="24"/>
        </w:rPr>
        <w:t xml:space="preserve"> fear of a more structured Yugoslav economic penetration in</w:t>
      </w:r>
      <w:r>
        <w:rPr>
          <w:szCs w:val="24"/>
        </w:rPr>
        <w:t>to</w:t>
      </w:r>
      <w:r w:rsidRPr="00C5764B">
        <w:rPr>
          <w:szCs w:val="24"/>
        </w:rPr>
        <w:t xml:space="preserve"> the border area remained constant</w:t>
      </w:r>
      <w:r>
        <w:rPr>
          <w:szCs w:val="24"/>
        </w:rPr>
        <w:t>,</w:t>
      </w:r>
      <w:r w:rsidRPr="00C5764B">
        <w:rPr>
          <w:szCs w:val="24"/>
        </w:rPr>
        <w:t xml:space="preserve"> at least until the early 1980s</w:t>
      </w:r>
      <w:r w:rsidRPr="00C5764B">
        <w:rPr>
          <w:rStyle w:val="Rimandonotaapidipagina"/>
          <w:szCs w:val="24"/>
        </w:rPr>
        <w:footnoteReference w:id="16"/>
      </w:r>
      <w:r w:rsidRPr="00C5764B">
        <w:rPr>
          <w:szCs w:val="24"/>
        </w:rPr>
        <w:t xml:space="preserve">. </w:t>
      </w:r>
    </w:p>
    <w:p w14:paraId="5AD51003" w14:textId="288CC869" w:rsidR="006F09F1" w:rsidRPr="00C5764B" w:rsidRDefault="006F09F1" w:rsidP="006F09F1">
      <w:pPr>
        <w:rPr>
          <w:szCs w:val="24"/>
        </w:rPr>
      </w:pPr>
      <w:r w:rsidRPr="00C5764B">
        <w:rPr>
          <w:szCs w:val="24"/>
        </w:rPr>
        <w:lastRenderedPageBreak/>
        <w:t>As this contribution has argued, the Yugoslav response to the 1976 earthquake in Friuli is telling for a set of reasons, bring</w:t>
      </w:r>
      <w:r>
        <w:rPr>
          <w:szCs w:val="24"/>
        </w:rPr>
        <w:t>ing</w:t>
      </w:r>
      <w:r w:rsidRPr="00C5764B">
        <w:rPr>
          <w:szCs w:val="24"/>
        </w:rPr>
        <w:t xml:space="preserve"> together strategic, geopolitical and economic preoccupations. First, it was a prominent instance of relief circulating </w:t>
      </w:r>
      <w:r>
        <w:rPr>
          <w:szCs w:val="24"/>
        </w:rPr>
        <w:t>w</w:t>
      </w:r>
      <w:r w:rsidRPr="00C5764B">
        <w:rPr>
          <w:szCs w:val="24"/>
        </w:rPr>
        <w:t>estward</w:t>
      </w:r>
      <w:r>
        <w:rPr>
          <w:szCs w:val="24"/>
        </w:rPr>
        <w:t>s</w:t>
      </w:r>
      <w:r w:rsidRPr="00C5764B">
        <w:rPr>
          <w:szCs w:val="24"/>
        </w:rPr>
        <w:t xml:space="preserve">. By providing effective aid to its </w:t>
      </w:r>
      <w:r>
        <w:rPr>
          <w:szCs w:val="24"/>
        </w:rPr>
        <w:t>w</w:t>
      </w:r>
      <w:r w:rsidRPr="00C5764B">
        <w:rPr>
          <w:szCs w:val="24"/>
        </w:rPr>
        <w:t xml:space="preserve">estern neighbour, Yugoslavia aimed </w:t>
      </w:r>
      <w:r>
        <w:rPr>
          <w:szCs w:val="24"/>
        </w:rPr>
        <w:t>to</w:t>
      </w:r>
      <w:r w:rsidRPr="00C5764B">
        <w:rPr>
          <w:szCs w:val="24"/>
        </w:rPr>
        <w:t xml:space="preserve"> impos</w:t>
      </w:r>
      <w:r>
        <w:rPr>
          <w:szCs w:val="24"/>
        </w:rPr>
        <w:t>e</w:t>
      </w:r>
      <w:r w:rsidRPr="00C5764B">
        <w:rPr>
          <w:szCs w:val="24"/>
        </w:rPr>
        <w:t xml:space="preserve"> itself as a partner on an equal footing. While showcasing the degree of détente and coordination existing in the Adriatic area, it also attempted </w:t>
      </w:r>
      <w:r>
        <w:rPr>
          <w:szCs w:val="24"/>
        </w:rPr>
        <w:t>to</w:t>
      </w:r>
      <w:r w:rsidRPr="00C5764B">
        <w:rPr>
          <w:szCs w:val="24"/>
        </w:rPr>
        <w:t xml:space="preserve"> counter biases nurtured </w:t>
      </w:r>
      <w:r>
        <w:rPr>
          <w:szCs w:val="24"/>
        </w:rPr>
        <w:t>by</w:t>
      </w:r>
      <w:r w:rsidRPr="00C5764B">
        <w:rPr>
          <w:szCs w:val="24"/>
        </w:rPr>
        <w:t xml:space="preserve"> Italy towards </w:t>
      </w:r>
      <w:r>
        <w:rPr>
          <w:szCs w:val="24"/>
        </w:rPr>
        <w:t>its</w:t>
      </w:r>
      <w:r w:rsidRPr="00C5764B">
        <w:rPr>
          <w:szCs w:val="24"/>
        </w:rPr>
        <w:t xml:space="preserve"> </w:t>
      </w:r>
      <w:r>
        <w:rPr>
          <w:szCs w:val="24"/>
        </w:rPr>
        <w:t>e</w:t>
      </w:r>
      <w:r w:rsidRPr="00C5764B">
        <w:rPr>
          <w:szCs w:val="24"/>
        </w:rPr>
        <w:t xml:space="preserve">astern neighbour. Second, the Yugoslav political agenda behind this case of humanitarian diplomacy changed </w:t>
      </w:r>
      <w:r>
        <w:rPr>
          <w:szCs w:val="24"/>
        </w:rPr>
        <w:t>according to scale</w:t>
      </w:r>
      <w:r w:rsidRPr="00C5764B">
        <w:rPr>
          <w:szCs w:val="24"/>
        </w:rPr>
        <w:t>. The fact that the Republic of Slovenia used aid to strengthen its ties with the Slovenian ethnic minority became a matter of particular concern for the Italian authorities. Rather than being passive recipients, the</w:t>
      </w:r>
      <w:r>
        <w:rPr>
          <w:szCs w:val="24"/>
        </w:rPr>
        <w:t xml:space="preserve"> Italian authorities</w:t>
      </w:r>
      <w:r w:rsidRPr="00C5764B">
        <w:rPr>
          <w:szCs w:val="24"/>
        </w:rPr>
        <w:t xml:space="preserve"> strove to channel and keep </w:t>
      </w:r>
      <w:r>
        <w:rPr>
          <w:szCs w:val="24"/>
        </w:rPr>
        <w:t xml:space="preserve">a </w:t>
      </w:r>
      <w:r w:rsidRPr="00C5764B">
        <w:rPr>
          <w:szCs w:val="24"/>
        </w:rPr>
        <w:t>control o</w:t>
      </w:r>
      <w:r>
        <w:rPr>
          <w:szCs w:val="24"/>
        </w:rPr>
        <w:t>ver the</w:t>
      </w:r>
      <w:r w:rsidRPr="00C5764B">
        <w:rPr>
          <w:szCs w:val="24"/>
        </w:rPr>
        <w:t xml:space="preserve"> aid. Third, as happened in other instances, it was clear in the minds of the main Yugoslav actors that </w:t>
      </w:r>
      <w:r>
        <w:rPr>
          <w:szCs w:val="24"/>
        </w:rPr>
        <w:t xml:space="preserve">the </w:t>
      </w:r>
      <w:r w:rsidRPr="00C5764B">
        <w:rPr>
          <w:szCs w:val="24"/>
        </w:rPr>
        <w:t xml:space="preserve">aid had to develop into a tool </w:t>
      </w:r>
      <w:r>
        <w:rPr>
          <w:szCs w:val="24"/>
        </w:rPr>
        <w:t>to</w:t>
      </w:r>
      <w:r w:rsidRPr="00C5764B">
        <w:rPr>
          <w:szCs w:val="24"/>
        </w:rPr>
        <w:t xml:space="preserve"> </w:t>
      </w:r>
      <w:proofErr w:type="gramStart"/>
      <w:r w:rsidRPr="00C5764B">
        <w:rPr>
          <w:szCs w:val="24"/>
        </w:rPr>
        <w:t>open up</w:t>
      </w:r>
      <w:proofErr w:type="gramEnd"/>
      <w:r w:rsidRPr="00C5764B">
        <w:rPr>
          <w:szCs w:val="24"/>
        </w:rPr>
        <w:t xml:space="preserve"> new room for economic initiatives and for Yugoslav companies</w:t>
      </w:r>
      <w:r>
        <w:rPr>
          <w:szCs w:val="24"/>
        </w:rPr>
        <w:t xml:space="preserve"> to </w:t>
      </w:r>
      <w:r w:rsidRPr="00C5764B">
        <w:rPr>
          <w:szCs w:val="24"/>
        </w:rPr>
        <w:t xml:space="preserve">explore new market opportunities. Finally, this </w:t>
      </w:r>
      <w:proofErr w:type="gramStart"/>
      <w:r>
        <w:rPr>
          <w:szCs w:val="24"/>
        </w:rPr>
        <w:t>particular</w:t>
      </w:r>
      <w:r w:rsidRPr="00C5764B">
        <w:rPr>
          <w:szCs w:val="24"/>
        </w:rPr>
        <w:t xml:space="preserve"> case</w:t>
      </w:r>
      <w:proofErr w:type="gramEnd"/>
      <w:r w:rsidRPr="00C5764B">
        <w:rPr>
          <w:szCs w:val="24"/>
        </w:rPr>
        <w:t xml:space="preserve"> of humanitarian diplomacy argues for the need not to approach area studies as </w:t>
      </w:r>
      <w:r>
        <w:rPr>
          <w:szCs w:val="24"/>
        </w:rPr>
        <w:t>sealed</w:t>
      </w:r>
      <w:r w:rsidRPr="00C5764B">
        <w:rPr>
          <w:szCs w:val="24"/>
        </w:rPr>
        <w:t xml:space="preserve"> boxes, but to consider countries at the intersection of different regions. This might provide fresh insights into </w:t>
      </w:r>
      <w:r>
        <w:rPr>
          <w:szCs w:val="24"/>
        </w:rPr>
        <w:t>the</w:t>
      </w:r>
      <w:r w:rsidRPr="00C5764B">
        <w:rPr>
          <w:szCs w:val="24"/>
        </w:rPr>
        <w:t xml:space="preserve"> history</w:t>
      </w:r>
      <w:r>
        <w:rPr>
          <w:szCs w:val="24"/>
        </w:rPr>
        <w:t xml:space="preserve"> of Yugoslavia</w:t>
      </w:r>
      <w:r w:rsidRPr="00C5764B">
        <w:rPr>
          <w:szCs w:val="24"/>
        </w:rPr>
        <w:t xml:space="preserve"> as </w:t>
      </w:r>
      <w:r>
        <w:rPr>
          <w:szCs w:val="24"/>
        </w:rPr>
        <w:t>a</w:t>
      </w:r>
      <w:r w:rsidRPr="00C5764B">
        <w:rPr>
          <w:szCs w:val="24"/>
        </w:rPr>
        <w:t xml:space="preserve"> country </w:t>
      </w:r>
      <w:r>
        <w:rPr>
          <w:szCs w:val="24"/>
        </w:rPr>
        <w:t xml:space="preserve">that </w:t>
      </w:r>
      <w:r w:rsidRPr="00C5764B">
        <w:rPr>
          <w:szCs w:val="24"/>
        </w:rPr>
        <w:t xml:space="preserve">participated in several trends </w:t>
      </w:r>
      <w:r>
        <w:rPr>
          <w:szCs w:val="24"/>
        </w:rPr>
        <w:t>overlapping between</w:t>
      </w:r>
      <w:r w:rsidRPr="00C5764B">
        <w:rPr>
          <w:szCs w:val="24"/>
        </w:rPr>
        <w:t xml:space="preserve"> </w:t>
      </w:r>
      <w:r>
        <w:rPr>
          <w:szCs w:val="24"/>
        </w:rPr>
        <w:t>e</w:t>
      </w:r>
      <w:r w:rsidRPr="00C5764B">
        <w:rPr>
          <w:szCs w:val="24"/>
        </w:rPr>
        <w:t xml:space="preserve">astern and </w:t>
      </w:r>
      <w:r>
        <w:rPr>
          <w:szCs w:val="24"/>
        </w:rPr>
        <w:t>s</w:t>
      </w:r>
      <w:r w:rsidRPr="00C5764B">
        <w:rPr>
          <w:szCs w:val="24"/>
        </w:rPr>
        <w:t xml:space="preserve">outhern Europe. </w:t>
      </w:r>
    </w:p>
    <w:p w14:paraId="66997B65" w14:textId="77777777" w:rsidR="00856684" w:rsidRDefault="00856684"/>
    <w:sectPr w:rsidR="00856684" w:rsidSect="00EA067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B4B5" w14:textId="77777777" w:rsidR="00902B11" w:rsidRDefault="00902B11" w:rsidP="006F09F1">
      <w:pPr>
        <w:spacing w:line="240" w:lineRule="auto"/>
      </w:pPr>
      <w:r>
        <w:separator/>
      </w:r>
    </w:p>
  </w:endnote>
  <w:endnote w:type="continuationSeparator" w:id="0">
    <w:p w14:paraId="0A7FDD6D" w14:textId="77777777" w:rsidR="00902B11" w:rsidRDefault="00902B11" w:rsidP="006F0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7D7AB" w14:textId="77777777" w:rsidR="00902B11" w:rsidRDefault="00902B11" w:rsidP="006F09F1">
      <w:pPr>
        <w:spacing w:line="240" w:lineRule="auto"/>
      </w:pPr>
      <w:r>
        <w:separator/>
      </w:r>
    </w:p>
  </w:footnote>
  <w:footnote w:type="continuationSeparator" w:id="0">
    <w:p w14:paraId="1AF32797" w14:textId="77777777" w:rsidR="00902B11" w:rsidRDefault="00902B11" w:rsidP="006F09F1">
      <w:pPr>
        <w:spacing w:line="240" w:lineRule="auto"/>
      </w:pPr>
      <w:r>
        <w:continuationSeparator/>
      </w:r>
    </w:p>
  </w:footnote>
  <w:footnote w:id="1">
    <w:p w14:paraId="64E93AE6" w14:textId="77777777" w:rsidR="006F09F1" w:rsidRPr="006F1AE9" w:rsidRDefault="006F09F1" w:rsidP="006F09F1">
      <w:pPr>
        <w:spacing w:line="240" w:lineRule="auto"/>
        <w:rPr>
          <w:sz w:val="20"/>
          <w:szCs w:val="20"/>
          <w:lang w:val="en-US"/>
        </w:rPr>
      </w:pPr>
      <w:r w:rsidRPr="006F1AE9">
        <w:rPr>
          <w:rStyle w:val="Rimandonotaapidipagina"/>
          <w:sz w:val="20"/>
          <w:szCs w:val="20"/>
        </w:rPr>
        <w:footnoteRef/>
      </w:r>
      <w:r w:rsidRPr="006F1AE9">
        <w:rPr>
          <w:sz w:val="20"/>
          <w:szCs w:val="20"/>
          <w:lang w:val="en-US"/>
        </w:rPr>
        <w:t xml:space="preserve"> Y. </w:t>
      </w:r>
      <w:proofErr w:type="spellStart"/>
      <w:r w:rsidRPr="006F1AE9">
        <w:rPr>
          <w:sz w:val="20"/>
          <w:szCs w:val="20"/>
          <w:lang w:val="en-US"/>
        </w:rPr>
        <w:t>Denéchère</w:t>
      </w:r>
      <w:proofErr w:type="spellEnd"/>
      <w:r w:rsidRPr="006F1AE9">
        <w:rPr>
          <w:sz w:val="20"/>
          <w:szCs w:val="20"/>
          <w:lang w:val="en-US"/>
        </w:rPr>
        <w:t xml:space="preserve">, </w:t>
      </w:r>
      <w:r w:rsidRPr="006F1AE9">
        <w:rPr>
          <w:i/>
          <w:sz w:val="20"/>
          <w:szCs w:val="20"/>
          <w:lang w:val="en-US"/>
        </w:rPr>
        <w:t>Eastern Europe: A New Field of Humanitarian History</w:t>
      </w:r>
      <w:r w:rsidRPr="006F1AE9">
        <w:rPr>
          <w:sz w:val="20"/>
          <w:szCs w:val="20"/>
          <w:lang w:val="en-US"/>
        </w:rPr>
        <w:t xml:space="preserve">, «Eastern Journal of European Studies», 2014, 5 2,.pp. 5-11; N. Richardson-Little, Hella Dietz, James Mark, </w:t>
      </w:r>
      <w:r w:rsidRPr="006F1AE9">
        <w:rPr>
          <w:i/>
          <w:sz w:val="20"/>
          <w:szCs w:val="20"/>
          <w:lang w:val="en-US"/>
        </w:rPr>
        <w:t>New Perspectives on Socialism and Human Rights in East Central Europe since 1945: Introduction to the Thematic Issue</w:t>
      </w:r>
      <w:r w:rsidRPr="006F1AE9">
        <w:rPr>
          <w:sz w:val="20"/>
          <w:szCs w:val="20"/>
          <w:lang w:val="en-US"/>
        </w:rPr>
        <w:t>, «</w:t>
      </w:r>
      <w:r w:rsidRPr="006F1AE9">
        <w:rPr>
          <w:iCs/>
          <w:sz w:val="20"/>
          <w:szCs w:val="20"/>
          <w:lang w:val="en-US"/>
        </w:rPr>
        <w:t>East Central Europe</w:t>
      </w:r>
      <w:r w:rsidRPr="006F1AE9">
        <w:rPr>
          <w:sz w:val="20"/>
          <w:szCs w:val="20"/>
          <w:lang w:val="en-US"/>
        </w:rPr>
        <w:t xml:space="preserve">», 46, 2–3, 2019, pp. 169–187; J. Mark, P. Betts (eds.), </w:t>
      </w:r>
      <w:r w:rsidRPr="006F1AE9">
        <w:rPr>
          <w:i/>
          <w:iCs/>
          <w:sz w:val="20"/>
          <w:szCs w:val="20"/>
          <w:lang w:val="en-US"/>
        </w:rPr>
        <w:t>Socialism Goes Global: the Soviet Union and Eastern Europe in the Age of Decolonization</w:t>
      </w:r>
      <w:r w:rsidRPr="006F1AE9">
        <w:rPr>
          <w:sz w:val="20"/>
          <w:szCs w:val="20"/>
          <w:lang w:val="en-US"/>
        </w:rPr>
        <w:t>, Oxford, UK; New York, NY, Oxford University Press, 2022.</w:t>
      </w:r>
    </w:p>
  </w:footnote>
  <w:footnote w:id="2">
    <w:p w14:paraId="62857872" w14:textId="77777777" w:rsidR="006F09F1" w:rsidRPr="006F1AE9" w:rsidRDefault="006F09F1" w:rsidP="006F09F1">
      <w:pPr>
        <w:spacing w:line="240" w:lineRule="auto"/>
        <w:rPr>
          <w:sz w:val="20"/>
          <w:szCs w:val="20"/>
          <w:lang w:val="en-US"/>
        </w:rPr>
      </w:pPr>
      <w:r w:rsidRPr="006F1AE9">
        <w:rPr>
          <w:rStyle w:val="Rimandonotaapidipagina"/>
          <w:sz w:val="20"/>
          <w:szCs w:val="20"/>
        </w:rPr>
        <w:footnoteRef/>
      </w:r>
      <w:r w:rsidRPr="006F1AE9">
        <w:rPr>
          <w:sz w:val="20"/>
          <w:szCs w:val="20"/>
          <w:lang w:val="en-US"/>
        </w:rPr>
        <w:t xml:space="preserve"> P. Stubbs (ed.), </w:t>
      </w:r>
      <w:r w:rsidRPr="006F1AE9">
        <w:rPr>
          <w:i/>
          <w:iCs/>
          <w:sz w:val="20"/>
          <w:szCs w:val="20"/>
          <w:lang w:val="en-US"/>
        </w:rPr>
        <w:t>Socialist Yugoslavia and the Non-Aligned Movement: Social, Cultural, Political, and Economic Imaginaries</w:t>
      </w:r>
      <w:r w:rsidRPr="006F1AE9">
        <w:rPr>
          <w:sz w:val="20"/>
          <w:szCs w:val="20"/>
          <w:lang w:val="en-US"/>
        </w:rPr>
        <w:t>, Montreal; Kingston; London; Chicago, McGill-Queen’s University Press, 2023.</w:t>
      </w:r>
    </w:p>
  </w:footnote>
  <w:footnote w:id="3">
    <w:p w14:paraId="356AA706" w14:textId="77777777" w:rsidR="006F09F1" w:rsidRPr="006F1AE9" w:rsidRDefault="006F09F1" w:rsidP="006F09F1">
      <w:pPr>
        <w:spacing w:line="240" w:lineRule="auto"/>
        <w:rPr>
          <w:sz w:val="20"/>
          <w:szCs w:val="20"/>
          <w:lang w:val="en-US"/>
        </w:rPr>
      </w:pPr>
      <w:r w:rsidRPr="006F1AE9">
        <w:rPr>
          <w:rStyle w:val="Rimandonotaapidipagina"/>
          <w:sz w:val="20"/>
          <w:szCs w:val="20"/>
        </w:rPr>
        <w:footnoteRef/>
      </w:r>
      <w:r w:rsidRPr="006F1AE9">
        <w:rPr>
          <w:sz w:val="20"/>
          <w:szCs w:val="20"/>
          <w:lang w:val="en-US"/>
        </w:rPr>
        <w:t xml:space="preserve"> C. Baker, </w:t>
      </w:r>
      <w:r w:rsidRPr="006F1AE9">
        <w:rPr>
          <w:i/>
          <w:iCs/>
          <w:sz w:val="20"/>
          <w:szCs w:val="20"/>
          <w:lang w:val="en-US"/>
        </w:rPr>
        <w:t xml:space="preserve">Race and the Yugoslav Region: </w:t>
      </w:r>
      <w:proofErr w:type="spellStart"/>
      <w:r w:rsidRPr="006F1AE9">
        <w:rPr>
          <w:i/>
          <w:iCs/>
          <w:sz w:val="20"/>
          <w:szCs w:val="20"/>
          <w:lang w:val="en-US"/>
        </w:rPr>
        <w:t>Postsocialist</w:t>
      </w:r>
      <w:proofErr w:type="spellEnd"/>
      <w:r w:rsidRPr="006F1AE9">
        <w:rPr>
          <w:i/>
          <w:iCs/>
          <w:sz w:val="20"/>
          <w:szCs w:val="20"/>
          <w:lang w:val="en-US"/>
        </w:rPr>
        <w:t>, Post-Conflict, Postcolonial?</w:t>
      </w:r>
      <w:r w:rsidRPr="006F1AE9">
        <w:rPr>
          <w:sz w:val="20"/>
          <w:szCs w:val="20"/>
          <w:lang w:val="en-US"/>
        </w:rPr>
        <w:t xml:space="preserve"> </w:t>
      </w:r>
      <w:r w:rsidRPr="006F1AE9">
        <w:rPr>
          <w:i/>
          <w:sz w:val="20"/>
          <w:szCs w:val="20"/>
          <w:lang w:val="en-US"/>
        </w:rPr>
        <w:t>Theory for a Global Age</w:t>
      </w:r>
      <w:r w:rsidRPr="006F1AE9">
        <w:rPr>
          <w:sz w:val="20"/>
          <w:szCs w:val="20"/>
          <w:lang w:val="en-US"/>
        </w:rPr>
        <w:t xml:space="preserve">, Manchester, Manchester University Press, 2018; J. Subotic, S. Vucetic, </w:t>
      </w:r>
      <w:r w:rsidRPr="006F1AE9">
        <w:rPr>
          <w:i/>
          <w:sz w:val="20"/>
          <w:szCs w:val="20"/>
          <w:lang w:val="en-US"/>
        </w:rPr>
        <w:t>Performing Solidarity: Whiteness and Status-seeking in the Non-Aligned World,</w:t>
      </w:r>
      <w:r w:rsidRPr="006F1AE9">
        <w:rPr>
          <w:sz w:val="20"/>
          <w:szCs w:val="20"/>
          <w:lang w:val="en-US"/>
        </w:rPr>
        <w:t xml:space="preserve"> «</w:t>
      </w:r>
      <w:r w:rsidRPr="006F1AE9">
        <w:rPr>
          <w:iCs/>
          <w:sz w:val="20"/>
          <w:szCs w:val="20"/>
          <w:lang w:val="en-US"/>
        </w:rPr>
        <w:t>Journal of International Relations and Development</w:t>
      </w:r>
      <w:r w:rsidRPr="006F1AE9">
        <w:rPr>
          <w:sz w:val="20"/>
          <w:szCs w:val="20"/>
          <w:lang w:val="en-US"/>
        </w:rPr>
        <w:t xml:space="preserve">», 22, f3, 2019, pp. 722–743. </w:t>
      </w:r>
    </w:p>
  </w:footnote>
  <w:footnote w:id="4">
    <w:p w14:paraId="57966373" w14:textId="77777777" w:rsidR="006F09F1" w:rsidRPr="006F1AE9" w:rsidRDefault="006F09F1" w:rsidP="006F09F1">
      <w:pPr>
        <w:pStyle w:val="Testonotaapidipagina"/>
        <w:spacing w:line="240" w:lineRule="auto"/>
        <w:rPr>
          <w:lang w:val="en-US"/>
        </w:rPr>
      </w:pPr>
      <w:r w:rsidRPr="006F1AE9">
        <w:rPr>
          <w:rStyle w:val="Rimandonotaapidipagina"/>
        </w:rPr>
        <w:footnoteRef/>
      </w:r>
      <w:r w:rsidRPr="006F1AE9">
        <w:rPr>
          <w:lang w:val="en-US"/>
        </w:rPr>
        <w:t xml:space="preserve"> </w:t>
      </w:r>
      <w:proofErr w:type="spellStart"/>
      <w:r w:rsidRPr="006F1AE9">
        <w:rPr>
          <w:lang w:val="en-US"/>
        </w:rPr>
        <w:t>Arhiv</w:t>
      </w:r>
      <w:proofErr w:type="spellEnd"/>
      <w:r w:rsidRPr="006F1AE9">
        <w:rPr>
          <w:lang w:val="en-US"/>
        </w:rPr>
        <w:t xml:space="preserve"> </w:t>
      </w:r>
      <w:proofErr w:type="spellStart"/>
      <w:r w:rsidRPr="006F1AE9">
        <w:rPr>
          <w:lang w:val="en-US"/>
        </w:rPr>
        <w:t>Jugoslavije</w:t>
      </w:r>
      <w:proofErr w:type="spellEnd"/>
      <w:r w:rsidRPr="006F1AE9">
        <w:rPr>
          <w:lang w:val="en-US"/>
        </w:rPr>
        <w:t xml:space="preserve">, </w:t>
      </w:r>
      <w:proofErr w:type="spellStart"/>
      <w:r w:rsidRPr="006F1AE9">
        <w:rPr>
          <w:lang w:val="en-US"/>
        </w:rPr>
        <w:t>Crveni</w:t>
      </w:r>
      <w:proofErr w:type="spellEnd"/>
      <w:r w:rsidRPr="006F1AE9">
        <w:rPr>
          <w:lang w:val="en-US"/>
        </w:rPr>
        <w:t xml:space="preserve"> </w:t>
      </w:r>
      <w:proofErr w:type="spellStart"/>
      <w:r w:rsidRPr="006F1AE9">
        <w:rPr>
          <w:lang w:val="en-US"/>
        </w:rPr>
        <w:t>Krst</w:t>
      </w:r>
      <w:proofErr w:type="spellEnd"/>
      <w:r w:rsidRPr="006F1AE9">
        <w:rPr>
          <w:lang w:val="en-US"/>
        </w:rPr>
        <w:t xml:space="preserve"> </w:t>
      </w:r>
      <w:proofErr w:type="spellStart"/>
      <w:r w:rsidRPr="006F1AE9">
        <w:rPr>
          <w:lang w:val="en-US"/>
        </w:rPr>
        <w:t>Jugoslavije</w:t>
      </w:r>
      <w:proofErr w:type="spellEnd"/>
      <w:r w:rsidRPr="006F1AE9">
        <w:rPr>
          <w:lang w:val="en-US"/>
        </w:rPr>
        <w:t xml:space="preserve"> (731), k. 456, </w:t>
      </w:r>
      <w:proofErr w:type="spellStart"/>
      <w:r w:rsidRPr="006F1AE9">
        <w:rPr>
          <w:lang w:val="en-US"/>
        </w:rPr>
        <w:t>Informacija</w:t>
      </w:r>
      <w:proofErr w:type="spellEnd"/>
      <w:r w:rsidRPr="006F1AE9">
        <w:rPr>
          <w:lang w:val="en-US"/>
        </w:rPr>
        <w:t xml:space="preserve"> o </w:t>
      </w:r>
      <w:proofErr w:type="spellStart"/>
      <w:r w:rsidRPr="006F1AE9">
        <w:rPr>
          <w:lang w:val="en-US"/>
        </w:rPr>
        <w:t>Italijanskom</w:t>
      </w:r>
      <w:proofErr w:type="spellEnd"/>
      <w:r w:rsidRPr="006F1AE9">
        <w:rPr>
          <w:lang w:val="en-US"/>
        </w:rPr>
        <w:t xml:space="preserve"> </w:t>
      </w:r>
      <w:proofErr w:type="spellStart"/>
      <w:r w:rsidRPr="006F1AE9">
        <w:rPr>
          <w:lang w:val="en-US"/>
        </w:rPr>
        <w:t>Crvenom</w:t>
      </w:r>
      <w:proofErr w:type="spellEnd"/>
      <w:r w:rsidRPr="006F1AE9">
        <w:rPr>
          <w:lang w:val="en-US"/>
        </w:rPr>
        <w:t xml:space="preserve"> </w:t>
      </w:r>
      <w:proofErr w:type="spellStart"/>
      <w:r w:rsidRPr="006F1AE9">
        <w:rPr>
          <w:lang w:val="en-US"/>
        </w:rPr>
        <w:t>Krstu</w:t>
      </w:r>
      <w:proofErr w:type="spellEnd"/>
      <w:r w:rsidRPr="006F1AE9">
        <w:rPr>
          <w:lang w:val="en-US"/>
        </w:rPr>
        <w:t>, 4.</w:t>
      </w:r>
    </w:p>
  </w:footnote>
  <w:footnote w:id="5">
    <w:p w14:paraId="3F721D8D" w14:textId="77777777" w:rsidR="006F09F1" w:rsidRPr="006F1AE9" w:rsidRDefault="006F09F1" w:rsidP="006F09F1">
      <w:pPr>
        <w:spacing w:line="240" w:lineRule="auto"/>
        <w:ind w:firstLine="142"/>
        <w:rPr>
          <w:sz w:val="20"/>
          <w:szCs w:val="20"/>
          <w:lang w:val="en-US"/>
        </w:rPr>
      </w:pPr>
      <w:r w:rsidRPr="006F1AE9">
        <w:rPr>
          <w:rStyle w:val="Rimandonotaapidipagina"/>
          <w:sz w:val="20"/>
          <w:szCs w:val="20"/>
        </w:rPr>
        <w:footnoteRef/>
      </w:r>
      <w:r w:rsidRPr="006F1AE9">
        <w:rPr>
          <w:sz w:val="20"/>
          <w:szCs w:val="20"/>
          <w:lang w:val="en-US"/>
        </w:rPr>
        <w:t xml:space="preserve"> K. </w:t>
      </w:r>
      <w:proofErr w:type="spellStart"/>
      <w:r w:rsidRPr="006F1AE9">
        <w:rPr>
          <w:sz w:val="20"/>
          <w:szCs w:val="20"/>
          <w:lang w:val="en-US"/>
        </w:rPr>
        <w:t>Ruzicic</w:t>
      </w:r>
      <w:proofErr w:type="spellEnd"/>
      <w:r w:rsidRPr="006F1AE9">
        <w:rPr>
          <w:sz w:val="20"/>
          <w:szCs w:val="20"/>
          <w:lang w:val="en-US"/>
        </w:rPr>
        <w:t xml:space="preserve">-Kessler, </w:t>
      </w:r>
      <w:r w:rsidRPr="006F1AE9">
        <w:rPr>
          <w:i/>
          <w:sz w:val="20"/>
          <w:szCs w:val="20"/>
          <w:lang w:val="en-US"/>
        </w:rPr>
        <w:t>Italy and Yugoslavia: From Distrust to Friendship in Cold War Europe</w:t>
      </w:r>
      <w:r w:rsidRPr="006F1AE9">
        <w:rPr>
          <w:sz w:val="20"/>
          <w:szCs w:val="20"/>
          <w:lang w:val="en-US"/>
        </w:rPr>
        <w:t>, «</w:t>
      </w:r>
      <w:r w:rsidRPr="006F1AE9">
        <w:rPr>
          <w:iCs/>
          <w:sz w:val="20"/>
          <w:szCs w:val="20"/>
          <w:lang w:val="en-US"/>
        </w:rPr>
        <w:t>Journal of Modern Italian Studies</w:t>
      </w:r>
      <w:r w:rsidRPr="006F1AE9">
        <w:rPr>
          <w:sz w:val="20"/>
          <w:szCs w:val="20"/>
          <w:lang w:val="en-US"/>
        </w:rPr>
        <w:t xml:space="preserve">», 19,5, 2014, pp. 641–664; M. Bucarelli, L. </w:t>
      </w:r>
      <w:proofErr w:type="spellStart"/>
      <w:r w:rsidRPr="006F1AE9">
        <w:rPr>
          <w:sz w:val="20"/>
          <w:szCs w:val="20"/>
          <w:lang w:val="en-US"/>
        </w:rPr>
        <w:t>Micheletta</w:t>
      </w:r>
      <w:proofErr w:type="spellEnd"/>
      <w:r w:rsidRPr="006F1AE9">
        <w:rPr>
          <w:sz w:val="20"/>
          <w:szCs w:val="20"/>
          <w:lang w:val="en-US"/>
        </w:rPr>
        <w:t xml:space="preserve">, L. </w:t>
      </w:r>
      <w:proofErr w:type="spellStart"/>
      <w:r w:rsidRPr="006F1AE9">
        <w:rPr>
          <w:sz w:val="20"/>
          <w:szCs w:val="20"/>
          <w:lang w:val="en-US"/>
        </w:rPr>
        <w:t>Monzali</w:t>
      </w:r>
      <w:proofErr w:type="spellEnd"/>
      <w:r w:rsidRPr="006F1AE9">
        <w:rPr>
          <w:sz w:val="20"/>
          <w:szCs w:val="20"/>
          <w:lang w:val="en-US"/>
        </w:rPr>
        <w:t xml:space="preserve">, L. Riccardi (eds.), </w:t>
      </w:r>
      <w:r w:rsidRPr="006F1AE9">
        <w:rPr>
          <w:i/>
          <w:iCs/>
          <w:sz w:val="20"/>
          <w:szCs w:val="20"/>
          <w:lang w:val="en-US"/>
        </w:rPr>
        <w:t xml:space="preserve">Italy and Tito’s Yugoslavia in the Age of International </w:t>
      </w:r>
      <w:proofErr w:type="spellStart"/>
      <w:r w:rsidRPr="006F1AE9">
        <w:rPr>
          <w:i/>
          <w:iCs/>
          <w:sz w:val="20"/>
          <w:szCs w:val="20"/>
          <w:lang w:val="en-US"/>
        </w:rPr>
        <w:t>Détente</w:t>
      </w:r>
      <w:proofErr w:type="spellEnd"/>
      <w:r w:rsidRPr="006F1AE9">
        <w:rPr>
          <w:sz w:val="20"/>
          <w:szCs w:val="20"/>
          <w:lang w:val="en-US"/>
        </w:rPr>
        <w:t>, Brussels, P.I.E. Peter Lang, 2016.</w:t>
      </w:r>
    </w:p>
  </w:footnote>
  <w:footnote w:id="6">
    <w:p w14:paraId="17E47DD8" w14:textId="77777777" w:rsidR="006F09F1" w:rsidRPr="006F1AE9" w:rsidRDefault="006F09F1" w:rsidP="006F09F1">
      <w:pPr>
        <w:pStyle w:val="Testonotaapidipagina"/>
        <w:spacing w:line="240" w:lineRule="auto"/>
        <w:rPr>
          <w:lang w:val="en-US"/>
        </w:rPr>
      </w:pPr>
      <w:r w:rsidRPr="006F1AE9">
        <w:rPr>
          <w:rStyle w:val="Rimandonotaapidipagina"/>
        </w:rPr>
        <w:footnoteRef/>
      </w:r>
      <w:r w:rsidRPr="006F1AE9">
        <w:rPr>
          <w:lang w:val="en-US"/>
        </w:rPr>
        <w:t xml:space="preserve">  M. Bucarelli, </w:t>
      </w:r>
      <w:r w:rsidRPr="006F1AE9">
        <w:rPr>
          <w:i/>
          <w:lang w:val="en-US"/>
        </w:rPr>
        <w:t xml:space="preserve">Détente in the Adriatic: Italian Foreign Policy and the Road to the </w:t>
      </w:r>
      <w:proofErr w:type="spellStart"/>
      <w:r w:rsidRPr="006F1AE9">
        <w:rPr>
          <w:i/>
          <w:lang w:val="en-US"/>
        </w:rPr>
        <w:t>Osimo</w:t>
      </w:r>
      <w:proofErr w:type="spellEnd"/>
      <w:r w:rsidRPr="006F1AE9">
        <w:rPr>
          <w:i/>
          <w:lang w:val="en-US"/>
        </w:rPr>
        <w:t xml:space="preserve"> Treaty</w:t>
      </w:r>
      <w:r w:rsidRPr="006F1AE9">
        <w:rPr>
          <w:lang w:val="en-US"/>
        </w:rPr>
        <w:t xml:space="preserve">, in M. Bucarelli, L. </w:t>
      </w:r>
      <w:proofErr w:type="spellStart"/>
      <w:r w:rsidRPr="006F1AE9">
        <w:rPr>
          <w:lang w:val="en-US"/>
        </w:rPr>
        <w:t>Micheletta</w:t>
      </w:r>
      <w:proofErr w:type="spellEnd"/>
      <w:r w:rsidRPr="006F1AE9">
        <w:rPr>
          <w:lang w:val="en-US"/>
        </w:rPr>
        <w:t xml:space="preserve">, L. </w:t>
      </w:r>
      <w:proofErr w:type="spellStart"/>
      <w:r w:rsidRPr="006F1AE9">
        <w:rPr>
          <w:lang w:val="en-US"/>
        </w:rPr>
        <w:t>Monzali</w:t>
      </w:r>
      <w:proofErr w:type="spellEnd"/>
      <w:r w:rsidRPr="006F1AE9">
        <w:rPr>
          <w:lang w:val="en-US"/>
        </w:rPr>
        <w:t xml:space="preserve">, L. Riccardi (eds.), </w:t>
      </w:r>
      <w:r w:rsidRPr="006F1AE9">
        <w:rPr>
          <w:i/>
          <w:iCs/>
          <w:lang w:val="en-US"/>
        </w:rPr>
        <w:t xml:space="preserve">Italy and Tito’s Yugoslavia in the Age of International </w:t>
      </w:r>
      <w:proofErr w:type="spellStart"/>
      <w:r w:rsidRPr="006F1AE9">
        <w:rPr>
          <w:i/>
          <w:iCs/>
          <w:lang w:val="en-US"/>
        </w:rPr>
        <w:t>Détente</w:t>
      </w:r>
      <w:proofErr w:type="spellEnd"/>
      <w:r w:rsidRPr="006F1AE9">
        <w:rPr>
          <w:lang w:val="en-US"/>
        </w:rPr>
        <w:t>, cit., p. 217.</w:t>
      </w:r>
    </w:p>
  </w:footnote>
  <w:footnote w:id="7">
    <w:p w14:paraId="33BC9638" w14:textId="77777777" w:rsidR="006F09F1" w:rsidRPr="006F1AE9" w:rsidRDefault="006F09F1" w:rsidP="006F09F1">
      <w:pPr>
        <w:pStyle w:val="Testonotaapidipagina"/>
        <w:spacing w:line="240" w:lineRule="auto"/>
        <w:rPr>
          <w:lang w:val="en-US"/>
        </w:rPr>
      </w:pPr>
      <w:r w:rsidRPr="006F1AE9">
        <w:rPr>
          <w:rStyle w:val="Rimandonotaapidipagina"/>
        </w:rPr>
        <w:footnoteRef/>
      </w:r>
      <w:r w:rsidRPr="006F1AE9">
        <w:rPr>
          <w:lang w:val="en-US"/>
        </w:rPr>
        <w:t xml:space="preserve"> D. D’Amelio, </w:t>
      </w:r>
      <w:r w:rsidRPr="006F1AE9">
        <w:rPr>
          <w:i/>
          <w:lang w:val="en-US"/>
        </w:rPr>
        <w:t xml:space="preserve">Imperfect Normalization. The Political Repercussions of the Treaty of </w:t>
      </w:r>
      <w:proofErr w:type="spellStart"/>
      <w:r w:rsidRPr="006F1AE9">
        <w:rPr>
          <w:i/>
          <w:lang w:val="en-US"/>
        </w:rPr>
        <w:t>Osimo</w:t>
      </w:r>
      <w:proofErr w:type="spellEnd"/>
      <w:r w:rsidRPr="006F1AE9">
        <w:rPr>
          <w:lang w:val="en-US"/>
        </w:rPr>
        <w:t xml:space="preserve">, in M. Bucarelli, L. </w:t>
      </w:r>
      <w:proofErr w:type="spellStart"/>
      <w:r w:rsidRPr="006F1AE9">
        <w:rPr>
          <w:lang w:val="en-US"/>
        </w:rPr>
        <w:t>Micheletta</w:t>
      </w:r>
      <w:proofErr w:type="spellEnd"/>
      <w:r w:rsidRPr="006F1AE9">
        <w:rPr>
          <w:lang w:val="en-US"/>
        </w:rPr>
        <w:t xml:space="preserve">, L. </w:t>
      </w:r>
      <w:proofErr w:type="spellStart"/>
      <w:r w:rsidRPr="006F1AE9">
        <w:rPr>
          <w:lang w:val="en-US"/>
        </w:rPr>
        <w:t>Monzali</w:t>
      </w:r>
      <w:proofErr w:type="spellEnd"/>
      <w:r w:rsidRPr="006F1AE9">
        <w:rPr>
          <w:lang w:val="en-US"/>
        </w:rPr>
        <w:t xml:space="preserve">, L. Riccardi (eds.), </w:t>
      </w:r>
      <w:r w:rsidRPr="006F1AE9">
        <w:rPr>
          <w:i/>
          <w:iCs/>
          <w:lang w:val="en-US"/>
        </w:rPr>
        <w:t xml:space="preserve">Italy and Tito’s Yugoslavia in the Age of International </w:t>
      </w:r>
      <w:proofErr w:type="spellStart"/>
      <w:r w:rsidRPr="006F1AE9">
        <w:rPr>
          <w:i/>
          <w:iCs/>
          <w:lang w:val="en-US"/>
        </w:rPr>
        <w:t>Détente</w:t>
      </w:r>
      <w:proofErr w:type="spellEnd"/>
      <w:r w:rsidRPr="006F1AE9">
        <w:rPr>
          <w:lang w:val="en-US"/>
        </w:rPr>
        <w:t>, cit.</w:t>
      </w:r>
      <w:proofErr w:type="gramStart"/>
      <w:r w:rsidRPr="006F1AE9">
        <w:rPr>
          <w:lang w:val="en-US"/>
        </w:rPr>
        <w:t xml:space="preserve">, </w:t>
      </w:r>
      <w:r w:rsidRPr="006F1AE9">
        <w:rPr>
          <w:iCs/>
          <w:lang w:val="en-US"/>
        </w:rPr>
        <w:t xml:space="preserve"> pp.</w:t>
      </w:r>
      <w:proofErr w:type="gramEnd"/>
      <w:r w:rsidRPr="006F1AE9">
        <w:rPr>
          <w:iCs/>
          <w:lang w:val="en-US"/>
        </w:rPr>
        <w:t xml:space="preserve"> 343-366.</w:t>
      </w:r>
    </w:p>
  </w:footnote>
  <w:footnote w:id="8">
    <w:p w14:paraId="64DBB882" w14:textId="77777777" w:rsidR="006F09F1" w:rsidRPr="006F1AE9" w:rsidRDefault="006F09F1" w:rsidP="006F09F1">
      <w:pPr>
        <w:spacing w:line="240" w:lineRule="auto"/>
        <w:rPr>
          <w:sz w:val="20"/>
          <w:szCs w:val="20"/>
          <w:lang w:val="en-US"/>
        </w:rPr>
      </w:pPr>
      <w:r w:rsidRPr="006F1AE9">
        <w:rPr>
          <w:rStyle w:val="Rimandonotaapidipagina"/>
          <w:sz w:val="20"/>
          <w:szCs w:val="20"/>
        </w:rPr>
        <w:footnoteRef/>
      </w:r>
      <w:r w:rsidRPr="006F1AE9">
        <w:rPr>
          <w:sz w:val="20"/>
          <w:szCs w:val="20"/>
          <w:lang w:val="en-US"/>
        </w:rPr>
        <w:t xml:space="preserve"> </w:t>
      </w:r>
      <w:proofErr w:type="spellStart"/>
      <w:r w:rsidRPr="006F1AE9">
        <w:rPr>
          <w:sz w:val="20"/>
          <w:szCs w:val="20"/>
          <w:lang w:val="en-US"/>
        </w:rPr>
        <w:t>Lj</w:t>
      </w:r>
      <w:proofErr w:type="spellEnd"/>
      <w:r w:rsidRPr="006F1AE9">
        <w:rPr>
          <w:sz w:val="20"/>
          <w:szCs w:val="20"/>
          <w:lang w:val="en-US"/>
        </w:rPr>
        <w:t xml:space="preserve">. </w:t>
      </w:r>
      <w:proofErr w:type="spellStart"/>
      <w:r w:rsidRPr="006F1AE9">
        <w:rPr>
          <w:sz w:val="20"/>
          <w:szCs w:val="20"/>
          <w:lang w:val="en-US"/>
        </w:rPr>
        <w:t>Spaskovska</w:t>
      </w:r>
      <w:proofErr w:type="spellEnd"/>
      <w:r w:rsidRPr="006F1AE9">
        <w:rPr>
          <w:sz w:val="20"/>
          <w:szCs w:val="20"/>
          <w:lang w:val="en-US"/>
        </w:rPr>
        <w:t xml:space="preserve">, </w:t>
      </w:r>
      <w:r w:rsidRPr="006F1AE9">
        <w:rPr>
          <w:i/>
          <w:sz w:val="20"/>
          <w:szCs w:val="20"/>
          <w:lang w:val="en-US"/>
        </w:rPr>
        <w:t>Constructing the «City of International Solidarity»: Non-Aligned Internationalism, the United Nations and Visions of Development, Modernism and Solidarity, 1955–1975</w:t>
      </w:r>
      <w:r w:rsidRPr="006F1AE9">
        <w:rPr>
          <w:sz w:val="20"/>
          <w:szCs w:val="20"/>
          <w:lang w:val="en-US"/>
        </w:rPr>
        <w:t>, «</w:t>
      </w:r>
      <w:r w:rsidRPr="006F1AE9">
        <w:rPr>
          <w:iCs/>
          <w:sz w:val="20"/>
          <w:szCs w:val="20"/>
          <w:lang w:val="en-US"/>
        </w:rPr>
        <w:t>Journal of World History</w:t>
      </w:r>
      <w:r w:rsidRPr="006F1AE9">
        <w:rPr>
          <w:sz w:val="20"/>
          <w:szCs w:val="20"/>
          <w:lang w:val="en-US"/>
        </w:rPr>
        <w:t xml:space="preserve">», 31, 1, 2020, pp. 137–163, here 154-155. </w:t>
      </w:r>
    </w:p>
  </w:footnote>
  <w:footnote w:id="9">
    <w:p w14:paraId="5C424F15" w14:textId="77777777" w:rsidR="006F09F1" w:rsidRPr="006F1AE9" w:rsidRDefault="006F09F1" w:rsidP="006F09F1">
      <w:pPr>
        <w:pStyle w:val="Testonotaapidipagina"/>
        <w:spacing w:line="240" w:lineRule="auto"/>
        <w:rPr>
          <w:lang w:val="it-IT"/>
        </w:rPr>
      </w:pPr>
      <w:r w:rsidRPr="006F1AE9">
        <w:rPr>
          <w:rStyle w:val="Rimandonotaapidipagina"/>
        </w:rPr>
        <w:footnoteRef/>
      </w:r>
      <w:r w:rsidRPr="006F1AE9">
        <w:t xml:space="preserve"> </w:t>
      </w:r>
      <w:proofErr w:type="spellStart"/>
      <w:r w:rsidRPr="006F1AE9">
        <w:t>Diplomatski</w:t>
      </w:r>
      <w:proofErr w:type="spellEnd"/>
      <w:r w:rsidRPr="006F1AE9">
        <w:t xml:space="preserve"> </w:t>
      </w:r>
      <w:proofErr w:type="spellStart"/>
      <w:r w:rsidRPr="006F1AE9">
        <w:t>arhiv</w:t>
      </w:r>
      <w:proofErr w:type="spellEnd"/>
      <w:r w:rsidRPr="006F1AE9">
        <w:t xml:space="preserve"> </w:t>
      </w:r>
      <w:proofErr w:type="spellStart"/>
      <w:r w:rsidRPr="006F1AE9">
        <w:t>Ministarstva</w:t>
      </w:r>
      <w:proofErr w:type="spellEnd"/>
      <w:r w:rsidRPr="006F1AE9">
        <w:t xml:space="preserve"> </w:t>
      </w:r>
      <w:proofErr w:type="spellStart"/>
      <w:r w:rsidRPr="006F1AE9">
        <w:t>spoljnih</w:t>
      </w:r>
      <w:proofErr w:type="spellEnd"/>
      <w:r w:rsidRPr="006F1AE9">
        <w:t xml:space="preserve"> </w:t>
      </w:r>
      <w:proofErr w:type="spellStart"/>
      <w:r w:rsidRPr="006F1AE9">
        <w:t>poslova</w:t>
      </w:r>
      <w:proofErr w:type="spellEnd"/>
      <w:r w:rsidRPr="006F1AE9">
        <w:t xml:space="preserve"> (DAMSP), Politi</w:t>
      </w:r>
      <w:proofErr w:type="spellStart"/>
      <w:r w:rsidRPr="006F1AE9">
        <w:rPr>
          <w:lang w:val="hr-HR"/>
        </w:rPr>
        <w:t>čka</w:t>
      </w:r>
      <w:proofErr w:type="spellEnd"/>
      <w:r w:rsidRPr="006F1AE9">
        <w:rPr>
          <w:lang w:val="hr-HR"/>
        </w:rPr>
        <w:t xml:space="preserve"> arhiva (PA), </w:t>
      </w:r>
      <w:r w:rsidRPr="006F1AE9">
        <w:t xml:space="preserve">Italia, 1977, fasc. </w:t>
      </w:r>
      <w:r w:rsidRPr="006F1AE9">
        <w:rPr>
          <w:lang w:val="it-IT"/>
        </w:rPr>
        <w:t xml:space="preserve">58, d. 7, 427925. </w:t>
      </w:r>
    </w:p>
  </w:footnote>
  <w:footnote w:id="10">
    <w:p w14:paraId="76E0BC21" w14:textId="77777777" w:rsidR="006F09F1" w:rsidRPr="006F1AE9" w:rsidRDefault="006F09F1" w:rsidP="006F09F1">
      <w:pPr>
        <w:pStyle w:val="Testonotaapidipagina"/>
        <w:spacing w:line="240" w:lineRule="auto"/>
        <w:rPr>
          <w:lang w:val="it-IT"/>
        </w:rPr>
      </w:pPr>
      <w:r w:rsidRPr="006F1AE9">
        <w:rPr>
          <w:rStyle w:val="Rimandonotaapidipagina"/>
        </w:rPr>
        <w:footnoteRef/>
      </w:r>
      <w:r w:rsidRPr="006F1AE9">
        <w:rPr>
          <w:lang w:val="it-IT"/>
        </w:rPr>
        <w:t xml:space="preserve"> DAMSP, PA Italia, 1977, fasc. 58, d. 7,445565, P. Angelillo, </w:t>
      </w:r>
      <w:r w:rsidRPr="006F1AE9">
        <w:rPr>
          <w:i/>
          <w:lang w:val="it-IT"/>
        </w:rPr>
        <w:t>Aiuti per tre miliardi dalla Jugoslavia al Friuli terremotato</w:t>
      </w:r>
      <w:r w:rsidRPr="006F1AE9">
        <w:rPr>
          <w:lang w:val="it-IT"/>
        </w:rPr>
        <w:t>, «Il Gazzettino», 12 August 1977.</w:t>
      </w:r>
    </w:p>
  </w:footnote>
  <w:footnote w:id="11">
    <w:p w14:paraId="269E4696" w14:textId="77777777" w:rsidR="006F09F1" w:rsidRPr="006F1AE9" w:rsidRDefault="006F09F1" w:rsidP="006F09F1">
      <w:pPr>
        <w:spacing w:line="240" w:lineRule="auto"/>
        <w:rPr>
          <w:sz w:val="20"/>
          <w:szCs w:val="20"/>
          <w:lang w:val="it-IT"/>
        </w:rPr>
      </w:pPr>
      <w:r w:rsidRPr="006F1AE9">
        <w:rPr>
          <w:rStyle w:val="Rimandonotaapidipagina"/>
          <w:sz w:val="20"/>
          <w:szCs w:val="20"/>
        </w:rPr>
        <w:footnoteRef/>
      </w:r>
      <w:r w:rsidRPr="006F1AE9">
        <w:rPr>
          <w:sz w:val="20"/>
          <w:szCs w:val="20"/>
          <w:lang w:val="it-IT"/>
        </w:rPr>
        <w:t xml:space="preserve"> DAMSP, PA Italia, 1977, fasc. 58, d. 7, 419649. </w:t>
      </w:r>
    </w:p>
  </w:footnote>
  <w:footnote w:id="12">
    <w:p w14:paraId="2106A111" w14:textId="77777777" w:rsidR="006F09F1" w:rsidRPr="006F1AE9" w:rsidRDefault="006F09F1" w:rsidP="006F09F1">
      <w:pPr>
        <w:spacing w:line="240" w:lineRule="auto"/>
        <w:rPr>
          <w:sz w:val="20"/>
          <w:szCs w:val="20"/>
          <w:lang w:val="it-IT"/>
        </w:rPr>
      </w:pPr>
      <w:r w:rsidRPr="006F1AE9">
        <w:rPr>
          <w:rStyle w:val="Rimandonotaapidipagina"/>
          <w:sz w:val="20"/>
          <w:szCs w:val="20"/>
        </w:rPr>
        <w:footnoteRef/>
      </w:r>
      <w:r w:rsidRPr="006F1AE9">
        <w:rPr>
          <w:sz w:val="20"/>
          <w:szCs w:val="20"/>
          <w:lang w:val="it-IT"/>
        </w:rPr>
        <w:t xml:space="preserve"> DAMSP, PA, Italia, 1977, fasc. 58, d. 7, 415285.</w:t>
      </w:r>
    </w:p>
  </w:footnote>
  <w:footnote w:id="13">
    <w:p w14:paraId="165DC1F9" w14:textId="77777777" w:rsidR="006F09F1" w:rsidRPr="006F1AE9" w:rsidRDefault="006F09F1" w:rsidP="006F09F1">
      <w:pPr>
        <w:spacing w:line="240" w:lineRule="auto"/>
        <w:rPr>
          <w:sz w:val="20"/>
          <w:szCs w:val="20"/>
          <w:lang w:val="it-IT"/>
        </w:rPr>
      </w:pPr>
      <w:r w:rsidRPr="006F1AE9">
        <w:rPr>
          <w:rStyle w:val="Rimandonotaapidipagina"/>
          <w:sz w:val="20"/>
          <w:szCs w:val="20"/>
        </w:rPr>
        <w:footnoteRef/>
      </w:r>
      <w:r w:rsidRPr="006F1AE9">
        <w:rPr>
          <w:sz w:val="20"/>
          <w:szCs w:val="20"/>
          <w:lang w:val="it-IT"/>
        </w:rPr>
        <w:t xml:space="preserve"> DAMSP, PA, Italia, 1977, fasc. 58, d. 7, 427244.</w:t>
      </w:r>
    </w:p>
  </w:footnote>
  <w:footnote w:id="14">
    <w:p w14:paraId="25E73B29" w14:textId="77777777" w:rsidR="006F09F1" w:rsidRPr="006F1AE9" w:rsidRDefault="006F09F1" w:rsidP="006F09F1">
      <w:pPr>
        <w:spacing w:line="240" w:lineRule="auto"/>
        <w:rPr>
          <w:sz w:val="20"/>
          <w:szCs w:val="20"/>
          <w:lang w:val="it-IT"/>
        </w:rPr>
      </w:pPr>
      <w:r w:rsidRPr="006F1AE9">
        <w:rPr>
          <w:rStyle w:val="Rimandonotaapidipagina"/>
          <w:sz w:val="20"/>
          <w:szCs w:val="20"/>
        </w:rPr>
        <w:footnoteRef/>
      </w:r>
      <w:r w:rsidRPr="006F1AE9">
        <w:rPr>
          <w:sz w:val="20"/>
          <w:szCs w:val="20"/>
          <w:lang w:val="it-IT"/>
        </w:rPr>
        <w:t xml:space="preserve"> DAMSP, PA, Italia, 1977, fasc. 58, d. 7, 427925.</w:t>
      </w:r>
    </w:p>
  </w:footnote>
  <w:footnote w:id="15">
    <w:p w14:paraId="32D5553C" w14:textId="77777777" w:rsidR="006F09F1" w:rsidRPr="006F1AE9" w:rsidRDefault="006F09F1" w:rsidP="006F09F1">
      <w:pPr>
        <w:spacing w:line="240" w:lineRule="auto"/>
        <w:rPr>
          <w:sz w:val="20"/>
          <w:szCs w:val="20"/>
          <w:lang w:val="it-IT"/>
        </w:rPr>
      </w:pPr>
      <w:r w:rsidRPr="006F1AE9">
        <w:rPr>
          <w:rStyle w:val="Rimandonotaapidipagina"/>
          <w:sz w:val="20"/>
          <w:szCs w:val="20"/>
        </w:rPr>
        <w:footnoteRef/>
      </w:r>
      <w:r w:rsidRPr="006F1AE9">
        <w:rPr>
          <w:sz w:val="20"/>
          <w:szCs w:val="20"/>
          <w:lang w:val="it-IT"/>
        </w:rPr>
        <w:t xml:space="preserve"> Archivio centrale dello Stato (ACS), Ministero dell’Interno (MI), Gabinetto, 1976-80, b. 351, M.B., </w:t>
      </w:r>
      <w:r w:rsidRPr="006F1AE9">
        <w:rPr>
          <w:i/>
          <w:sz w:val="20"/>
          <w:szCs w:val="20"/>
          <w:lang w:val="it-IT"/>
        </w:rPr>
        <w:t>Clandestini, ormai un esercito,</w:t>
      </w:r>
      <w:r w:rsidRPr="006F1AE9">
        <w:rPr>
          <w:sz w:val="20"/>
          <w:szCs w:val="20"/>
          <w:lang w:val="it-IT"/>
        </w:rPr>
        <w:t xml:space="preserve"> «Il Sole 24 ore», 12 </w:t>
      </w:r>
      <w:proofErr w:type="spellStart"/>
      <w:r w:rsidRPr="006F1AE9">
        <w:rPr>
          <w:sz w:val="20"/>
          <w:szCs w:val="20"/>
          <w:lang w:val="it-IT"/>
        </w:rPr>
        <w:t>September</w:t>
      </w:r>
      <w:proofErr w:type="spellEnd"/>
      <w:r w:rsidRPr="006F1AE9">
        <w:rPr>
          <w:sz w:val="20"/>
          <w:szCs w:val="20"/>
          <w:lang w:val="it-IT"/>
        </w:rPr>
        <w:t xml:space="preserve"> 1985, p. 6</w:t>
      </w:r>
    </w:p>
  </w:footnote>
  <w:footnote w:id="16">
    <w:p w14:paraId="3D33A142" w14:textId="77777777" w:rsidR="006F09F1" w:rsidRPr="006F1AE9" w:rsidRDefault="006F09F1" w:rsidP="006F09F1">
      <w:pPr>
        <w:spacing w:line="240" w:lineRule="auto"/>
        <w:rPr>
          <w:sz w:val="20"/>
          <w:szCs w:val="20"/>
        </w:rPr>
      </w:pPr>
      <w:r w:rsidRPr="006F1AE9">
        <w:rPr>
          <w:rStyle w:val="Rimandonotaapidipagina"/>
          <w:sz w:val="20"/>
          <w:szCs w:val="20"/>
        </w:rPr>
        <w:footnoteRef/>
      </w:r>
      <w:r w:rsidRPr="006F1AE9">
        <w:rPr>
          <w:sz w:val="20"/>
          <w:szCs w:val="20"/>
        </w:rPr>
        <w:t xml:space="preserve"> ACS, MI, </w:t>
      </w:r>
      <w:proofErr w:type="spellStart"/>
      <w:r w:rsidRPr="006F1AE9">
        <w:rPr>
          <w:sz w:val="20"/>
          <w:szCs w:val="20"/>
        </w:rPr>
        <w:t>Gabinetto</w:t>
      </w:r>
      <w:proofErr w:type="spellEnd"/>
      <w:r w:rsidRPr="006F1AE9">
        <w:rPr>
          <w:sz w:val="20"/>
          <w:szCs w:val="20"/>
        </w:rPr>
        <w:t>, 1976-80, b. 298.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F1"/>
    <w:rsid w:val="006F09F1"/>
    <w:rsid w:val="007C2F68"/>
    <w:rsid w:val="00856684"/>
    <w:rsid w:val="00902B11"/>
    <w:rsid w:val="009E64F9"/>
    <w:rsid w:val="00CF09B6"/>
    <w:rsid w:val="00DD7A11"/>
    <w:rsid w:val="00EA0676"/>
    <w:rsid w:val="00F030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4FEC034"/>
  <w14:defaultImageDpi w14:val="32767"/>
  <w15:chartTrackingRefBased/>
  <w15:docId w15:val="{5E990BE3-9938-114C-8ECA-215AB5F2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6F09F1"/>
    <w:pPr>
      <w:spacing w:line="360" w:lineRule="auto"/>
      <w:jc w:val="both"/>
    </w:pPr>
    <w:rPr>
      <w:rFonts w:ascii="Times New Roman" w:eastAsia="Aptos" w:hAnsi="Times New Roman" w:cs="Times New Roman"/>
      <w:bCs/>
      <w:kern w:val="3"/>
      <w:szCs w:val="22"/>
      <w:lang w:val="en-GB"/>
      <w14:ligatures w14:val="none"/>
    </w:rPr>
  </w:style>
  <w:style w:type="paragraph" w:styleId="Titolo1">
    <w:name w:val="heading 1"/>
    <w:basedOn w:val="Normale"/>
    <w:next w:val="Normale"/>
    <w:link w:val="Titolo1Carattere"/>
    <w:uiPriority w:val="9"/>
    <w:qFormat/>
    <w:rsid w:val="006F09F1"/>
    <w:pPr>
      <w:keepNext/>
      <w:keepLines/>
      <w:spacing w:before="360" w:after="80" w:line="240" w:lineRule="auto"/>
      <w:jc w:val="left"/>
      <w:outlineLvl w:val="0"/>
    </w:pPr>
    <w:rPr>
      <w:rFonts w:asciiTheme="majorHAnsi" w:eastAsiaTheme="majorEastAsia" w:hAnsiTheme="majorHAnsi" w:cstheme="majorBidi"/>
      <w:bCs w:val="0"/>
      <w:color w:val="2F5496" w:themeColor="accent1" w:themeShade="BF"/>
      <w:kern w:val="2"/>
      <w:sz w:val="40"/>
      <w:szCs w:val="40"/>
      <w:lang w:val="it-IT"/>
      <w14:ligatures w14:val="standardContextual"/>
    </w:rPr>
  </w:style>
  <w:style w:type="paragraph" w:styleId="Titolo2">
    <w:name w:val="heading 2"/>
    <w:basedOn w:val="Normale"/>
    <w:next w:val="Normale"/>
    <w:link w:val="Titolo2Carattere"/>
    <w:uiPriority w:val="9"/>
    <w:unhideWhenUsed/>
    <w:qFormat/>
    <w:rsid w:val="006F09F1"/>
    <w:pPr>
      <w:keepNext/>
      <w:keepLines/>
      <w:spacing w:before="160" w:after="80" w:line="240" w:lineRule="auto"/>
      <w:jc w:val="left"/>
      <w:outlineLvl w:val="1"/>
    </w:pPr>
    <w:rPr>
      <w:rFonts w:asciiTheme="majorHAnsi" w:eastAsiaTheme="majorEastAsia" w:hAnsiTheme="majorHAnsi" w:cstheme="majorBidi"/>
      <w:bCs w:val="0"/>
      <w:color w:val="2F5496"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6F09F1"/>
    <w:pPr>
      <w:keepNext/>
      <w:keepLines/>
      <w:spacing w:before="160" w:after="80" w:line="240" w:lineRule="auto"/>
      <w:jc w:val="left"/>
      <w:outlineLvl w:val="2"/>
    </w:pPr>
    <w:rPr>
      <w:rFonts w:asciiTheme="minorHAnsi" w:eastAsiaTheme="majorEastAsia" w:hAnsiTheme="minorHAnsi" w:cstheme="majorBidi"/>
      <w:bCs w:val="0"/>
      <w:color w:val="2F5496"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6F09F1"/>
    <w:pPr>
      <w:keepNext/>
      <w:keepLines/>
      <w:spacing w:before="80" w:after="40" w:line="240" w:lineRule="auto"/>
      <w:jc w:val="left"/>
      <w:outlineLvl w:val="3"/>
    </w:pPr>
    <w:rPr>
      <w:rFonts w:asciiTheme="minorHAnsi" w:eastAsiaTheme="majorEastAsia" w:hAnsiTheme="minorHAnsi" w:cstheme="majorBidi"/>
      <w:bCs w:val="0"/>
      <w:i/>
      <w:iCs/>
      <w:color w:val="2F5496" w:themeColor="accent1" w:themeShade="BF"/>
      <w:kern w:val="2"/>
      <w:szCs w:val="24"/>
      <w:lang w:val="it-IT"/>
      <w14:ligatures w14:val="standardContextual"/>
    </w:rPr>
  </w:style>
  <w:style w:type="paragraph" w:styleId="Titolo5">
    <w:name w:val="heading 5"/>
    <w:basedOn w:val="Normale"/>
    <w:next w:val="Normale"/>
    <w:link w:val="Titolo5Carattere"/>
    <w:uiPriority w:val="9"/>
    <w:semiHidden/>
    <w:unhideWhenUsed/>
    <w:qFormat/>
    <w:rsid w:val="006F09F1"/>
    <w:pPr>
      <w:keepNext/>
      <w:keepLines/>
      <w:spacing w:before="80" w:after="40" w:line="240" w:lineRule="auto"/>
      <w:jc w:val="left"/>
      <w:outlineLvl w:val="4"/>
    </w:pPr>
    <w:rPr>
      <w:rFonts w:asciiTheme="minorHAnsi" w:eastAsiaTheme="majorEastAsia" w:hAnsiTheme="minorHAnsi" w:cstheme="majorBidi"/>
      <w:bCs w:val="0"/>
      <w:color w:val="2F5496" w:themeColor="accent1" w:themeShade="BF"/>
      <w:kern w:val="2"/>
      <w:szCs w:val="24"/>
      <w:lang w:val="it-IT"/>
      <w14:ligatures w14:val="standardContextual"/>
    </w:rPr>
  </w:style>
  <w:style w:type="paragraph" w:styleId="Titolo6">
    <w:name w:val="heading 6"/>
    <w:basedOn w:val="Normale"/>
    <w:next w:val="Normale"/>
    <w:link w:val="Titolo6Carattere"/>
    <w:uiPriority w:val="9"/>
    <w:semiHidden/>
    <w:unhideWhenUsed/>
    <w:qFormat/>
    <w:rsid w:val="006F09F1"/>
    <w:pPr>
      <w:keepNext/>
      <w:keepLines/>
      <w:spacing w:before="40" w:line="240" w:lineRule="auto"/>
      <w:jc w:val="left"/>
      <w:outlineLvl w:val="5"/>
    </w:pPr>
    <w:rPr>
      <w:rFonts w:asciiTheme="minorHAnsi" w:eastAsiaTheme="majorEastAsia" w:hAnsiTheme="minorHAnsi" w:cstheme="majorBidi"/>
      <w:bCs w:val="0"/>
      <w:i/>
      <w:iCs/>
      <w:color w:val="595959" w:themeColor="text1" w:themeTint="A6"/>
      <w:kern w:val="2"/>
      <w:szCs w:val="24"/>
      <w:lang w:val="it-IT"/>
      <w14:ligatures w14:val="standardContextual"/>
    </w:rPr>
  </w:style>
  <w:style w:type="paragraph" w:styleId="Titolo7">
    <w:name w:val="heading 7"/>
    <w:basedOn w:val="Normale"/>
    <w:next w:val="Normale"/>
    <w:link w:val="Titolo7Carattere"/>
    <w:uiPriority w:val="9"/>
    <w:semiHidden/>
    <w:unhideWhenUsed/>
    <w:qFormat/>
    <w:rsid w:val="006F09F1"/>
    <w:pPr>
      <w:keepNext/>
      <w:keepLines/>
      <w:spacing w:before="40" w:line="240" w:lineRule="auto"/>
      <w:jc w:val="left"/>
      <w:outlineLvl w:val="6"/>
    </w:pPr>
    <w:rPr>
      <w:rFonts w:asciiTheme="minorHAnsi" w:eastAsiaTheme="majorEastAsia" w:hAnsiTheme="minorHAnsi" w:cstheme="majorBidi"/>
      <w:bCs w:val="0"/>
      <w:color w:val="595959" w:themeColor="text1" w:themeTint="A6"/>
      <w:kern w:val="2"/>
      <w:szCs w:val="24"/>
      <w:lang w:val="it-IT"/>
      <w14:ligatures w14:val="standardContextual"/>
    </w:rPr>
  </w:style>
  <w:style w:type="paragraph" w:styleId="Titolo8">
    <w:name w:val="heading 8"/>
    <w:basedOn w:val="Normale"/>
    <w:next w:val="Normale"/>
    <w:link w:val="Titolo8Carattere"/>
    <w:uiPriority w:val="9"/>
    <w:semiHidden/>
    <w:unhideWhenUsed/>
    <w:qFormat/>
    <w:rsid w:val="006F09F1"/>
    <w:pPr>
      <w:keepNext/>
      <w:keepLines/>
      <w:spacing w:line="240" w:lineRule="auto"/>
      <w:jc w:val="left"/>
      <w:outlineLvl w:val="7"/>
    </w:pPr>
    <w:rPr>
      <w:rFonts w:asciiTheme="minorHAnsi" w:eastAsiaTheme="majorEastAsia" w:hAnsiTheme="minorHAnsi" w:cstheme="majorBidi"/>
      <w:bCs w:val="0"/>
      <w:i/>
      <w:iCs/>
      <w:color w:val="272727" w:themeColor="text1" w:themeTint="D8"/>
      <w:kern w:val="2"/>
      <w:szCs w:val="24"/>
      <w:lang w:val="it-IT"/>
      <w14:ligatures w14:val="standardContextual"/>
    </w:rPr>
  </w:style>
  <w:style w:type="paragraph" w:styleId="Titolo9">
    <w:name w:val="heading 9"/>
    <w:basedOn w:val="Normale"/>
    <w:next w:val="Normale"/>
    <w:link w:val="Titolo9Carattere"/>
    <w:uiPriority w:val="9"/>
    <w:semiHidden/>
    <w:unhideWhenUsed/>
    <w:qFormat/>
    <w:rsid w:val="006F09F1"/>
    <w:pPr>
      <w:keepNext/>
      <w:keepLines/>
      <w:spacing w:line="240" w:lineRule="auto"/>
      <w:jc w:val="left"/>
      <w:outlineLvl w:val="8"/>
    </w:pPr>
    <w:rPr>
      <w:rFonts w:asciiTheme="minorHAnsi" w:eastAsiaTheme="majorEastAsia" w:hAnsiTheme="minorHAnsi" w:cstheme="majorBidi"/>
      <w:bCs w:val="0"/>
      <w:color w:val="272727" w:themeColor="text1" w:themeTint="D8"/>
      <w:kern w:val="2"/>
      <w:szCs w:val="24"/>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09F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F09F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F09F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F09F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F09F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F09F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09F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09F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09F1"/>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09F1"/>
    <w:pPr>
      <w:spacing w:after="80" w:line="240" w:lineRule="auto"/>
      <w:contextualSpacing/>
      <w:jc w:val="left"/>
    </w:pPr>
    <w:rPr>
      <w:rFonts w:asciiTheme="majorHAnsi" w:eastAsiaTheme="majorEastAsia" w:hAnsiTheme="majorHAnsi" w:cstheme="majorBidi"/>
      <w:bCs w:val="0"/>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6F09F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09F1"/>
    <w:pPr>
      <w:numPr>
        <w:ilvl w:val="1"/>
      </w:numPr>
      <w:spacing w:after="160" w:line="240" w:lineRule="auto"/>
      <w:jc w:val="left"/>
    </w:pPr>
    <w:rPr>
      <w:rFonts w:asciiTheme="minorHAnsi" w:eastAsiaTheme="majorEastAsia" w:hAnsiTheme="minorHAnsi" w:cstheme="majorBidi"/>
      <w:bCs w:val="0"/>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6F09F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09F1"/>
    <w:pPr>
      <w:spacing w:before="160" w:after="160" w:line="240" w:lineRule="auto"/>
      <w:jc w:val="center"/>
    </w:pPr>
    <w:rPr>
      <w:rFonts w:asciiTheme="minorHAnsi" w:eastAsiaTheme="minorHAnsi" w:hAnsiTheme="minorHAnsi" w:cstheme="minorBidi"/>
      <w:bCs w:val="0"/>
      <w:i/>
      <w:iCs/>
      <w:color w:val="404040" w:themeColor="text1" w:themeTint="BF"/>
      <w:kern w:val="2"/>
      <w:szCs w:val="24"/>
      <w:lang w:val="it-IT"/>
      <w14:ligatures w14:val="standardContextual"/>
    </w:rPr>
  </w:style>
  <w:style w:type="character" w:customStyle="1" w:styleId="CitazioneCarattere">
    <w:name w:val="Citazione Carattere"/>
    <w:basedOn w:val="Carpredefinitoparagrafo"/>
    <w:link w:val="Citazione"/>
    <w:uiPriority w:val="29"/>
    <w:rsid w:val="006F09F1"/>
    <w:rPr>
      <w:i/>
      <w:iCs/>
      <w:color w:val="404040" w:themeColor="text1" w:themeTint="BF"/>
    </w:rPr>
  </w:style>
  <w:style w:type="paragraph" w:styleId="Paragrafoelenco">
    <w:name w:val="List Paragraph"/>
    <w:basedOn w:val="Normale"/>
    <w:uiPriority w:val="34"/>
    <w:qFormat/>
    <w:rsid w:val="006F09F1"/>
    <w:pPr>
      <w:spacing w:line="240" w:lineRule="auto"/>
      <w:ind w:left="720"/>
      <w:contextualSpacing/>
      <w:jc w:val="left"/>
    </w:pPr>
    <w:rPr>
      <w:rFonts w:asciiTheme="minorHAnsi" w:eastAsiaTheme="minorHAnsi" w:hAnsiTheme="minorHAnsi" w:cstheme="minorBidi"/>
      <w:bCs w:val="0"/>
      <w:kern w:val="2"/>
      <w:szCs w:val="24"/>
      <w:lang w:val="it-IT"/>
      <w14:ligatures w14:val="standardContextual"/>
    </w:rPr>
  </w:style>
  <w:style w:type="character" w:styleId="Enfasiintensa">
    <w:name w:val="Intense Emphasis"/>
    <w:basedOn w:val="Carpredefinitoparagrafo"/>
    <w:uiPriority w:val="21"/>
    <w:qFormat/>
    <w:rsid w:val="006F09F1"/>
    <w:rPr>
      <w:i/>
      <w:iCs/>
      <w:color w:val="2F5496" w:themeColor="accent1" w:themeShade="BF"/>
    </w:rPr>
  </w:style>
  <w:style w:type="paragraph" w:styleId="Citazioneintensa">
    <w:name w:val="Intense Quote"/>
    <w:basedOn w:val="Normale"/>
    <w:next w:val="Normale"/>
    <w:link w:val="CitazioneintensaCarattere"/>
    <w:uiPriority w:val="30"/>
    <w:qFormat/>
    <w:rsid w:val="006F09F1"/>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bCs w:val="0"/>
      <w:i/>
      <w:iCs/>
      <w:color w:val="2F5496" w:themeColor="accent1" w:themeShade="BF"/>
      <w:kern w:val="2"/>
      <w:szCs w:val="24"/>
      <w:lang w:val="it-IT"/>
      <w14:ligatures w14:val="standardContextual"/>
    </w:rPr>
  </w:style>
  <w:style w:type="character" w:customStyle="1" w:styleId="CitazioneintensaCarattere">
    <w:name w:val="Citazione intensa Carattere"/>
    <w:basedOn w:val="Carpredefinitoparagrafo"/>
    <w:link w:val="Citazioneintensa"/>
    <w:uiPriority w:val="30"/>
    <w:rsid w:val="006F09F1"/>
    <w:rPr>
      <w:i/>
      <w:iCs/>
      <w:color w:val="2F5496" w:themeColor="accent1" w:themeShade="BF"/>
    </w:rPr>
  </w:style>
  <w:style w:type="character" w:styleId="Riferimentointenso">
    <w:name w:val="Intense Reference"/>
    <w:basedOn w:val="Carpredefinitoparagrafo"/>
    <w:uiPriority w:val="32"/>
    <w:qFormat/>
    <w:rsid w:val="006F09F1"/>
    <w:rPr>
      <w:b/>
      <w:bCs/>
      <w:smallCaps/>
      <w:color w:val="2F5496" w:themeColor="accent1" w:themeShade="BF"/>
      <w:spacing w:val="5"/>
    </w:rPr>
  </w:style>
  <w:style w:type="paragraph" w:styleId="Testonotaapidipagina">
    <w:name w:val="footnote text"/>
    <w:basedOn w:val="Normale"/>
    <w:link w:val="TestonotaapidipaginaCarattere"/>
    <w:uiPriority w:val="99"/>
    <w:rsid w:val="006F09F1"/>
    <w:pPr>
      <w:suppressAutoHyphens/>
    </w:pPr>
    <w:rPr>
      <w:color w:val="000000"/>
      <w:sz w:val="20"/>
      <w:szCs w:val="20"/>
    </w:rPr>
  </w:style>
  <w:style w:type="character" w:customStyle="1" w:styleId="TestonotaapidipaginaCarattere">
    <w:name w:val="Testo nota a piè di pagina Carattere"/>
    <w:basedOn w:val="Carpredefinitoparagrafo"/>
    <w:link w:val="Testonotaapidipagina"/>
    <w:uiPriority w:val="99"/>
    <w:rsid w:val="006F09F1"/>
    <w:rPr>
      <w:rFonts w:ascii="Times New Roman" w:eastAsia="Aptos" w:hAnsi="Times New Roman" w:cs="Times New Roman"/>
      <w:bCs/>
      <w:color w:val="000000"/>
      <w:kern w:val="3"/>
      <w:sz w:val="20"/>
      <w:szCs w:val="20"/>
      <w:lang w:val="en-GB"/>
      <w14:ligatures w14:val="none"/>
    </w:rPr>
  </w:style>
  <w:style w:type="character" w:styleId="Rimandonotaapidipagina">
    <w:name w:val="footnote reference"/>
    <w:uiPriority w:val="99"/>
    <w:rsid w:val="006F09F1"/>
    <w:rPr>
      <w:position w:val="0"/>
      <w:vertAlign w:val="superscript"/>
    </w:rPr>
  </w:style>
  <w:style w:type="character" w:styleId="Rimandocommento">
    <w:name w:val="annotation reference"/>
    <w:rsid w:val="006F09F1"/>
    <w:rPr>
      <w:sz w:val="16"/>
      <w:szCs w:val="16"/>
    </w:rPr>
  </w:style>
  <w:style w:type="paragraph" w:styleId="Testocommento">
    <w:name w:val="annotation text"/>
    <w:basedOn w:val="Normale"/>
    <w:link w:val="TestocommentoCarattere"/>
    <w:rsid w:val="006F09F1"/>
    <w:pPr>
      <w:suppressAutoHyphens/>
    </w:pPr>
    <w:rPr>
      <w:sz w:val="20"/>
      <w:szCs w:val="20"/>
    </w:rPr>
  </w:style>
  <w:style w:type="character" w:customStyle="1" w:styleId="TestocommentoCarattere">
    <w:name w:val="Testo commento Carattere"/>
    <w:basedOn w:val="Carpredefinitoparagrafo"/>
    <w:link w:val="Testocommento"/>
    <w:rsid w:val="006F09F1"/>
    <w:rPr>
      <w:rFonts w:ascii="Times New Roman" w:eastAsia="Aptos" w:hAnsi="Times New Roman" w:cs="Times New Roman"/>
      <w:bCs/>
      <w:kern w:val="3"/>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1802</Words>
  <Characters>10276</Characters>
  <Application>Microsoft Office Word</Application>
  <DocSecurity>0</DocSecurity>
  <Lines>85</Lines>
  <Paragraphs>24</Paragraphs>
  <ScaleCrop>false</ScaleCrop>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Rolandi</dc:creator>
  <cp:keywords/>
  <dc:description/>
  <cp:lastModifiedBy>Francesca Rolandi</cp:lastModifiedBy>
  <cp:revision>2</cp:revision>
  <dcterms:created xsi:type="dcterms:W3CDTF">2026-02-04T12:12:00Z</dcterms:created>
  <dcterms:modified xsi:type="dcterms:W3CDTF">2026-02-04T12:15:00Z</dcterms:modified>
</cp:coreProperties>
</file>