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7063B4" w14:textId="429C4CEA" w:rsidR="00082B2D" w:rsidRDefault="00775E01" w:rsidP="00775E01">
      <w:pPr>
        <w:jc w:val="center"/>
        <w:rPr>
          <w:rFonts w:ascii="Times" w:hAnsi="Times" w:cs="Lucidasans"/>
        </w:rPr>
      </w:pPr>
      <w:r w:rsidRPr="00775E01">
        <w:rPr>
          <w:rFonts w:ascii="Times" w:hAnsi="Times" w:cs="Lucidasans"/>
          <w:b/>
          <w:bCs/>
        </w:rPr>
        <w:t xml:space="preserve">PROBING THE ROLE OF STRUCTURAL DISORDER IN SARS-COV-2 N </w:t>
      </w:r>
      <w:r w:rsidR="00E40EDC">
        <w:rPr>
          <w:rFonts w:ascii="Times" w:hAnsi="Times" w:cs="Lucidasans"/>
          <w:b/>
          <w:bCs/>
        </w:rPr>
        <w:t>BY</w:t>
      </w:r>
      <w:r w:rsidRPr="00775E01">
        <w:rPr>
          <w:rFonts w:ascii="Times" w:hAnsi="Times" w:cs="Lucidasans"/>
          <w:b/>
          <w:bCs/>
        </w:rPr>
        <w:t xml:space="preserve"> NMR: INSIGHTS INTO POLYANION BINDING MECHANISMS</w:t>
      </w:r>
    </w:p>
    <w:p w14:paraId="05F756CE" w14:textId="56AF3294" w:rsidR="00082B2D" w:rsidRPr="00E40EDC" w:rsidRDefault="00761AFA">
      <w:pPr>
        <w:rPr>
          <w:rFonts w:ascii="Times" w:eastAsia="Times" w:hAnsi="Times" w:cs="Times"/>
          <w:lang w:val="it-IT"/>
        </w:rPr>
      </w:pPr>
      <w:r w:rsidRPr="00E40EDC">
        <w:rPr>
          <w:rFonts w:ascii="Times" w:hAnsi="Times" w:cs="Lucidasans"/>
          <w:lang w:val="it-IT"/>
        </w:rPr>
        <w:t>T</w:t>
      </w:r>
      <w:r w:rsidR="001C3C9E" w:rsidRPr="00E40EDC">
        <w:rPr>
          <w:rFonts w:ascii="Times" w:hAnsi="Times" w:cs="Lucidasans"/>
          <w:lang w:val="it-IT"/>
        </w:rPr>
        <w:t>essa</w:t>
      </w:r>
      <w:r w:rsidRPr="00E40EDC">
        <w:rPr>
          <w:rFonts w:ascii="Times" w:hAnsi="Times" w:cs="Lucidasans"/>
          <w:lang w:val="it-IT"/>
        </w:rPr>
        <w:t xml:space="preserve"> </w:t>
      </w:r>
      <w:proofErr w:type="spellStart"/>
      <w:r w:rsidR="00775E01" w:rsidRPr="00E40EDC">
        <w:rPr>
          <w:rFonts w:ascii="Times" w:hAnsi="Times" w:cs="Lucidasans"/>
          <w:lang w:val="it-IT"/>
        </w:rPr>
        <w:t>Bolognesi</w:t>
      </w:r>
      <w:r w:rsidR="001C3C9E" w:rsidRPr="00E40EDC">
        <w:rPr>
          <w:rFonts w:ascii="Times" w:hAnsi="Times" w:cs="Lucidasans"/>
          <w:vertAlign w:val="superscript"/>
          <w:lang w:val="it-IT"/>
        </w:rPr>
        <w:t>a</w:t>
      </w:r>
      <w:proofErr w:type="spellEnd"/>
      <w:r w:rsidRPr="00E40EDC">
        <w:rPr>
          <w:rFonts w:ascii="Times" w:eastAsia="Times" w:hAnsi="Times" w:cs="Times"/>
          <w:lang w:val="it-IT"/>
        </w:rPr>
        <w:t>,</w:t>
      </w:r>
      <w:r w:rsidR="00082B2D" w:rsidRPr="00E40EDC">
        <w:rPr>
          <w:rFonts w:ascii="Times" w:hAnsi="Times" w:cs="Lucidasans"/>
          <w:lang w:val="it-IT"/>
        </w:rPr>
        <w:t xml:space="preserve"> </w:t>
      </w:r>
      <w:r w:rsidR="00E40EDC" w:rsidRPr="00E40EDC">
        <w:rPr>
          <w:rFonts w:ascii="Times" w:hAnsi="Times" w:cs="Lucidasans"/>
          <w:lang w:val="it-IT"/>
        </w:rPr>
        <w:t xml:space="preserve">Marco </w:t>
      </w:r>
      <w:proofErr w:type="spellStart"/>
      <w:r w:rsidR="00E40EDC" w:rsidRPr="00E40EDC">
        <w:rPr>
          <w:rFonts w:ascii="Times" w:hAnsi="Times" w:cs="Lucidasans"/>
          <w:lang w:val="it-IT"/>
        </w:rPr>
        <w:t>Schiavina</w:t>
      </w:r>
      <w:r w:rsidR="001C3C9E" w:rsidRPr="00E40EDC">
        <w:rPr>
          <w:rFonts w:ascii="Times" w:hAnsi="Times" w:cs="Lucidasans"/>
          <w:vertAlign w:val="superscript"/>
          <w:lang w:val="it-IT"/>
        </w:rPr>
        <w:t>a</w:t>
      </w:r>
      <w:proofErr w:type="spellEnd"/>
      <w:r w:rsidRPr="00E40EDC">
        <w:rPr>
          <w:rFonts w:ascii="Times" w:hAnsi="Times" w:cs="Lucidasans"/>
          <w:lang w:val="it-IT"/>
        </w:rPr>
        <w:t xml:space="preserve">, </w:t>
      </w:r>
      <w:r w:rsidR="00E40EDC" w:rsidRPr="00E40EDC">
        <w:rPr>
          <w:rFonts w:ascii="Times" w:hAnsi="Times" w:cs="Lucidasans"/>
          <w:lang w:val="it-IT"/>
        </w:rPr>
        <w:t>Cristina</w:t>
      </w:r>
      <w:r w:rsidR="00E40EDC">
        <w:rPr>
          <w:rFonts w:ascii="Times" w:hAnsi="Times" w:cs="Lucidasans"/>
          <w:lang w:val="it-IT"/>
        </w:rPr>
        <w:t xml:space="preserve"> </w:t>
      </w:r>
      <w:proofErr w:type="spellStart"/>
      <w:r w:rsidR="00E40EDC">
        <w:rPr>
          <w:rFonts w:ascii="Times" w:hAnsi="Times" w:cs="Lucidasans"/>
          <w:lang w:val="it-IT"/>
        </w:rPr>
        <w:t>Ciabini</w:t>
      </w:r>
      <w:r w:rsidR="001C3C9E" w:rsidRPr="00E40EDC">
        <w:rPr>
          <w:rFonts w:ascii="Times" w:hAnsi="Times" w:cs="Lucidasans"/>
          <w:vertAlign w:val="superscript"/>
          <w:lang w:val="it-IT"/>
        </w:rPr>
        <w:t>a</w:t>
      </w:r>
      <w:proofErr w:type="spellEnd"/>
      <w:r w:rsidRPr="00E40EDC">
        <w:rPr>
          <w:rFonts w:ascii="Times" w:hAnsi="Times" w:cs="Lucidasans"/>
          <w:lang w:val="it-IT"/>
        </w:rPr>
        <w:t xml:space="preserve">, </w:t>
      </w:r>
      <w:r w:rsidR="00E40EDC">
        <w:rPr>
          <w:rFonts w:ascii="Times" w:hAnsi="Times" w:cs="Lucidasans"/>
          <w:lang w:val="it-IT"/>
        </w:rPr>
        <w:t xml:space="preserve">Stefano </w:t>
      </w:r>
      <w:proofErr w:type="spellStart"/>
      <w:r w:rsidR="00E40EDC">
        <w:rPr>
          <w:rFonts w:ascii="Times" w:hAnsi="Times" w:cs="Lucidasans"/>
          <w:lang w:val="it-IT"/>
        </w:rPr>
        <w:t>Elli</w:t>
      </w:r>
      <w:r w:rsidR="00CB559F">
        <w:rPr>
          <w:rFonts w:ascii="Times" w:hAnsi="Times" w:cs="Lucidasans"/>
          <w:vertAlign w:val="superscript"/>
          <w:lang w:val="it-IT"/>
        </w:rPr>
        <w:t>b</w:t>
      </w:r>
      <w:proofErr w:type="spellEnd"/>
      <w:r w:rsidR="001C3C9E" w:rsidRPr="00E40EDC">
        <w:rPr>
          <w:rFonts w:ascii="Times" w:hAnsi="Times" w:cs="Lucidasans"/>
          <w:lang w:val="it-IT"/>
        </w:rPr>
        <w:t xml:space="preserve">, </w:t>
      </w:r>
      <w:r w:rsidR="00E40EDC">
        <w:rPr>
          <w:rFonts w:ascii="Times" w:hAnsi="Times" w:cs="Lucidasans"/>
          <w:lang w:val="it-IT"/>
        </w:rPr>
        <w:t xml:space="preserve">Michela </w:t>
      </w:r>
      <w:proofErr w:type="spellStart"/>
      <w:r w:rsidR="00E40EDC">
        <w:rPr>
          <w:rFonts w:ascii="Times" w:hAnsi="Times" w:cs="Lucidasans"/>
          <w:lang w:val="it-IT"/>
        </w:rPr>
        <w:t>Parafioriti</w:t>
      </w:r>
      <w:r w:rsidR="00CB559F">
        <w:rPr>
          <w:rFonts w:ascii="Times" w:hAnsi="Times" w:cs="Lucidasans"/>
          <w:vertAlign w:val="superscript"/>
          <w:lang w:val="it-IT"/>
        </w:rPr>
        <w:t>b</w:t>
      </w:r>
      <w:proofErr w:type="spellEnd"/>
      <w:r w:rsidR="00F57F39" w:rsidRPr="00E40EDC">
        <w:rPr>
          <w:rFonts w:ascii="Times" w:hAnsi="Times" w:cs="Lucidasans"/>
          <w:lang w:val="it-IT"/>
        </w:rPr>
        <w:t xml:space="preserve">, </w:t>
      </w:r>
      <w:r w:rsidR="00E40EDC">
        <w:rPr>
          <w:rFonts w:ascii="Times" w:hAnsi="Times" w:cs="Lucidasans"/>
          <w:lang w:val="it-IT"/>
        </w:rPr>
        <w:t xml:space="preserve">Marco </w:t>
      </w:r>
      <w:proofErr w:type="spellStart"/>
      <w:r w:rsidR="00E40EDC">
        <w:rPr>
          <w:rFonts w:ascii="Times" w:hAnsi="Times" w:cs="Lucidasans"/>
          <w:lang w:val="it-IT"/>
        </w:rPr>
        <w:t>Guerrini</w:t>
      </w:r>
      <w:r w:rsidR="00CB559F">
        <w:rPr>
          <w:rFonts w:ascii="Times" w:hAnsi="Times" w:cs="Lucidasans"/>
          <w:vertAlign w:val="superscript"/>
          <w:lang w:val="it-IT"/>
        </w:rPr>
        <w:t>b</w:t>
      </w:r>
      <w:proofErr w:type="spellEnd"/>
      <w:r w:rsidR="00F57F39" w:rsidRPr="00E40EDC">
        <w:rPr>
          <w:rFonts w:ascii="Times" w:hAnsi="Times" w:cs="Lucidasans"/>
          <w:lang w:val="it-IT"/>
        </w:rPr>
        <w:t xml:space="preserve">, </w:t>
      </w:r>
      <w:r w:rsidR="00E40EDC">
        <w:rPr>
          <w:rFonts w:ascii="Times" w:hAnsi="Times" w:cs="Lucidasans"/>
          <w:lang w:val="it-IT"/>
        </w:rPr>
        <w:t xml:space="preserve">Isabella C. </w:t>
      </w:r>
      <w:proofErr w:type="spellStart"/>
      <w:r w:rsidR="00E40EDC">
        <w:rPr>
          <w:rFonts w:ascii="Times" w:hAnsi="Times" w:cs="Lucidasans"/>
          <w:lang w:val="it-IT"/>
        </w:rPr>
        <w:t>Felli</w:t>
      </w:r>
      <w:r w:rsidR="00E40EDC">
        <w:rPr>
          <w:rFonts w:ascii="Times" w:hAnsi="Times" w:cs="Lucidasans"/>
          <w:vertAlign w:val="superscript"/>
          <w:lang w:val="it-IT"/>
        </w:rPr>
        <w:t>a</w:t>
      </w:r>
      <w:proofErr w:type="spellEnd"/>
      <w:r w:rsidR="00E40EDC">
        <w:rPr>
          <w:rFonts w:ascii="Times" w:hAnsi="Times" w:cs="Lucidasans"/>
          <w:lang w:val="it-IT"/>
        </w:rPr>
        <w:t xml:space="preserve">, Roberta </w:t>
      </w:r>
      <w:proofErr w:type="spellStart"/>
      <w:r w:rsidR="00E40EDC">
        <w:rPr>
          <w:rFonts w:ascii="Times" w:hAnsi="Times" w:cs="Lucidasans"/>
          <w:lang w:val="it-IT"/>
        </w:rPr>
        <w:t>Pierattelli</w:t>
      </w:r>
      <w:r w:rsidR="00E40EDC" w:rsidRPr="00E40EDC">
        <w:rPr>
          <w:rFonts w:ascii="Times" w:hAnsi="Times" w:cs="Lucidasans"/>
          <w:vertAlign w:val="superscript"/>
          <w:lang w:val="it-IT"/>
        </w:rPr>
        <w:t>a</w:t>
      </w:r>
      <w:proofErr w:type="spellEnd"/>
    </w:p>
    <w:p w14:paraId="77D1B62D" w14:textId="1753EC8C" w:rsidR="00F57F39" w:rsidRPr="00E40EDC" w:rsidRDefault="00F57F39">
      <w:pPr>
        <w:rPr>
          <w:rFonts w:ascii="Times" w:eastAsia="Times" w:hAnsi="Times" w:cs="Times"/>
          <w:vertAlign w:val="superscript"/>
          <w:lang w:val="it-IT"/>
        </w:rPr>
      </w:pPr>
    </w:p>
    <w:p w14:paraId="66015675" w14:textId="4F640DD3" w:rsidR="00082B2D" w:rsidRPr="00BF5699" w:rsidRDefault="001C3C9E">
      <w:pPr>
        <w:rPr>
          <w:rFonts w:ascii="Times" w:eastAsia="Times" w:hAnsi="Times" w:cs="Times"/>
          <w:sz w:val="20"/>
          <w:szCs w:val="20"/>
        </w:rPr>
      </w:pPr>
      <w:r w:rsidRPr="00BF5699">
        <w:rPr>
          <w:rFonts w:ascii="Times" w:eastAsia="Times" w:hAnsi="Times" w:cs="Times"/>
          <w:sz w:val="20"/>
          <w:szCs w:val="20"/>
          <w:vertAlign w:val="superscript"/>
        </w:rPr>
        <w:t>a</w:t>
      </w:r>
      <w:r w:rsidR="00EA374E" w:rsidRPr="00BF5699">
        <w:rPr>
          <w:rFonts w:ascii="Times" w:eastAsia="Times" w:hAnsi="Times" w:cs="Times"/>
          <w:sz w:val="20"/>
          <w:szCs w:val="20"/>
          <w:vertAlign w:val="superscript"/>
        </w:rPr>
        <w:t xml:space="preserve"> </w:t>
      </w:r>
      <w:r w:rsidR="00AC7DD5" w:rsidRPr="00BF5699">
        <w:rPr>
          <w:rFonts w:ascii="Times" w:eastAsia="Times" w:hAnsi="Times" w:cs="Times"/>
          <w:sz w:val="20"/>
          <w:szCs w:val="20"/>
        </w:rPr>
        <w:t>Department of Chemistry</w:t>
      </w:r>
      <w:r w:rsidR="00AC7DD5">
        <w:rPr>
          <w:rFonts w:ascii="Times" w:eastAsia="Times" w:hAnsi="Times" w:cs="Times"/>
          <w:sz w:val="20"/>
          <w:szCs w:val="20"/>
        </w:rPr>
        <w:t xml:space="preserve">, </w:t>
      </w:r>
      <w:r w:rsidRPr="00BF5699">
        <w:rPr>
          <w:rFonts w:ascii="Times" w:eastAsia="Times" w:hAnsi="Times" w:cs="Times"/>
          <w:sz w:val="20"/>
          <w:szCs w:val="20"/>
        </w:rPr>
        <w:t xml:space="preserve">Magnetic Resonance Center, University of Florence, Via L. </w:t>
      </w:r>
      <w:proofErr w:type="spellStart"/>
      <w:r w:rsidRPr="00BF5699">
        <w:rPr>
          <w:rFonts w:ascii="Times" w:eastAsia="Times" w:hAnsi="Times" w:cs="Times"/>
          <w:sz w:val="20"/>
          <w:szCs w:val="20"/>
        </w:rPr>
        <w:t>Sacconi</w:t>
      </w:r>
      <w:proofErr w:type="spellEnd"/>
      <w:r w:rsidRPr="00BF5699">
        <w:rPr>
          <w:rFonts w:ascii="Times" w:eastAsia="Times" w:hAnsi="Times" w:cs="Times"/>
          <w:sz w:val="20"/>
          <w:szCs w:val="20"/>
        </w:rPr>
        <w:t xml:space="preserve"> 6, Sesto F.no IT</w:t>
      </w:r>
    </w:p>
    <w:p w14:paraId="08AABC6E" w14:textId="3306BBDC" w:rsidR="00F57F39" w:rsidRPr="00F57F39" w:rsidRDefault="00CB559F">
      <w:pPr>
        <w:rPr>
          <w:rFonts w:ascii="Times" w:eastAsia="Times" w:hAnsi="Times" w:cs="Times"/>
          <w:sz w:val="20"/>
          <w:szCs w:val="20"/>
          <w:lang w:val="it-IT"/>
        </w:rPr>
      </w:pPr>
      <w:r>
        <w:rPr>
          <w:rFonts w:ascii="Times" w:eastAsia="Times" w:hAnsi="Times" w:cs="Times"/>
          <w:sz w:val="20"/>
          <w:szCs w:val="20"/>
          <w:vertAlign w:val="superscript"/>
          <w:lang w:val="it-IT"/>
        </w:rPr>
        <w:t>b</w:t>
      </w:r>
      <w:r w:rsidR="00F57F39">
        <w:rPr>
          <w:rFonts w:ascii="Times" w:eastAsia="Times" w:hAnsi="Times" w:cs="Times"/>
          <w:sz w:val="20"/>
          <w:szCs w:val="20"/>
          <w:vertAlign w:val="superscript"/>
          <w:lang w:val="it-IT"/>
        </w:rPr>
        <w:t xml:space="preserve"> </w:t>
      </w:r>
      <w:r w:rsidR="00F57F39" w:rsidRPr="00F57F39">
        <w:rPr>
          <w:rFonts w:ascii="Times" w:eastAsia="Times" w:hAnsi="Times" w:cs="Times"/>
          <w:sz w:val="20"/>
          <w:szCs w:val="20"/>
          <w:lang w:val="it-IT"/>
        </w:rPr>
        <w:t>Istituto di Ricerche Chimiche e Biochimiche G. Ronzoni</w:t>
      </w:r>
      <w:r w:rsidR="00F57F39">
        <w:rPr>
          <w:rFonts w:ascii="Times" w:eastAsia="Times" w:hAnsi="Times" w:cs="Times"/>
          <w:sz w:val="20"/>
          <w:szCs w:val="20"/>
          <w:lang w:val="it-IT"/>
        </w:rPr>
        <w:t xml:space="preserve">, </w:t>
      </w:r>
      <w:r w:rsidR="00F57F39" w:rsidRPr="00F57F39">
        <w:rPr>
          <w:rFonts w:ascii="Times" w:eastAsia="Times" w:hAnsi="Times" w:cs="Times"/>
          <w:sz w:val="20"/>
          <w:szCs w:val="20"/>
          <w:lang w:val="it-IT"/>
        </w:rPr>
        <w:t>Via G. Colombo 8</w:t>
      </w:r>
      <w:r w:rsidR="00F57F39">
        <w:rPr>
          <w:rFonts w:ascii="Times" w:eastAsia="Times" w:hAnsi="Times" w:cs="Times"/>
          <w:sz w:val="20"/>
          <w:szCs w:val="20"/>
          <w:lang w:val="it-IT"/>
        </w:rPr>
        <w:t>1, Milan IT</w:t>
      </w:r>
    </w:p>
    <w:p w14:paraId="5C5EA4D6" w14:textId="3AA9C686" w:rsidR="00082B2D" w:rsidRPr="00EA374E" w:rsidRDefault="00082B2D">
      <w:pPr>
        <w:rPr>
          <w:rFonts w:ascii="Times" w:hAnsi="Times" w:cs="Times"/>
          <w:sz w:val="20"/>
          <w:szCs w:val="20"/>
          <w:lang w:val="it-IT"/>
        </w:rPr>
      </w:pPr>
      <w:r w:rsidRPr="00EA374E">
        <w:rPr>
          <w:rFonts w:ascii="Times" w:eastAsia="Times" w:hAnsi="Times" w:cs="Times"/>
          <w:sz w:val="20"/>
          <w:szCs w:val="20"/>
          <w:lang w:val="it-IT"/>
        </w:rPr>
        <w:t xml:space="preserve">E-mail: </w:t>
      </w:r>
      <w:r w:rsidR="005B3A5F" w:rsidRPr="00BF5699">
        <w:rPr>
          <w:rFonts w:ascii="Times" w:hAnsi="Times" w:cs="Times"/>
          <w:sz w:val="20"/>
          <w:szCs w:val="20"/>
          <w:lang w:val="it-IT"/>
        </w:rPr>
        <w:t>tessa.bolognesi@unifi.</w:t>
      </w:r>
      <w:r w:rsidR="00761AFA" w:rsidRPr="00BF5699">
        <w:rPr>
          <w:rFonts w:ascii="Times" w:hAnsi="Times" w:cs="Times"/>
          <w:sz w:val="20"/>
          <w:szCs w:val="20"/>
          <w:lang w:val="it-IT"/>
        </w:rPr>
        <w:t>i</w:t>
      </w:r>
      <w:r w:rsidR="005B3A5F" w:rsidRPr="00BF5699">
        <w:rPr>
          <w:rFonts w:ascii="Times" w:hAnsi="Times" w:cs="Times"/>
          <w:sz w:val="20"/>
          <w:szCs w:val="20"/>
          <w:lang w:val="it-IT"/>
        </w:rPr>
        <w:t>t</w:t>
      </w:r>
    </w:p>
    <w:p w14:paraId="35E699E2" w14:textId="77777777" w:rsidR="00AE34DD" w:rsidRPr="001C3C9E" w:rsidRDefault="00AE34DD">
      <w:pPr>
        <w:rPr>
          <w:rFonts w:ascii="Times" w:hAnsi="Times" w:cs="Lucidasans"/>
          <w:sz w:val="20"/>
          <w:szCs w:val="20"/>
          <w:lang w:val="it-IT"/>
        </w:rPr>
      </w:pPr>
    </w:p>
    <w:p w14:paraId="6AAA3B68" w14:textId="54A028EC" w:rsidR="00AB286E" w:rsidRPr="000778B2" w:rsidRDefault="009F7D9D" w:rsidP="00AE34DD">
      <w:pPr>
        <w:jc w:val="both"/>
        <w:rPr>
          <w:rFonts w:ascii="Times" w:hAnsi="Times" w:cs="Lucidasans"/>
          <w:bCs/>
        </w:rPr>
      </w:pPr>
      <w:r w:rsidRPr="000778B2">
        <w:rPr>
          <w:rFonts w:ascii="Times" w:hAnsi="Times" w:cs="Lucidasans"/>
          <w:b/>
          <w:bCs/>
          <w:u w:val="single"/>
        </w:rPr>
        <w:t>Keywords:</w:t>
      </w:r>
      <w:r w:rsidRPr="000778B2">
        <w:rPr>
          <w:rFonts w:ascii="Times" w:hAnsi="Times" w:cs="Lucidasans"/>
          <w:bCs/>
        </w:rPr>
        <w:t xml:space="preserve"> </w:t>
      </w:r>
    </w:p>
    <w:p w14:paraId="7E9FEE46" w14:textId="5BD4BCC8" w:rsidR="00EB1A95" w:rsidRDefault="009F7D9D" w:rsidP="00AE34DD">
      <w:pPr>
        <w:jc w:val="both"/>
        <w:rPr>
          <w:rFonts w:ascii="Times" w:hAnsi="Times" w:cs="Lucidasans"/>
          <w:bCs/>
        </w:rPr>
      </w:pPr>
      <w:r w:rsidRPr="000778B2">
        <w:rPr>
          <w:rFonts w:ascii="Times" w:hAnsi="Times" w:cs="Lucidasans"/>
          <w:bCs/>
        </w:rPr>
        <w:t>so</w:t>
      </w:r>
      <w:r w:rsidR="00BD6818">
        <w:rPr>
          <w:rFonts w:ascii="Times" w:hAnsi="Times" w:cs="Lucidasans"/>
          <w:bCs/>
        </w:rPr>
        <w:t xml:space="preserve">lution NMR, </w:t>
      </w:r>
      <w:r w:rsidRPr="000778B2">
        <w:rPr>
          <w:rFonts w:ascii="Times" w:hAnsi="Times" w:cs="Lucidasans"/>
          <w:bCs/>
        </w:rPr>
        <w:t>small molecules, biomolecules</w:t>
      </w:r>
      <w:r w:rsidR="00577830">
        <w:rPr>
          <w:rFonts w:ascii="Times" w:hAnsi="Times" w:cs="Lucidasans"/>
          <w:bCs/>
        </w:rPr>
        <w:t>.</w:t>
      </w:r>
    </w:p>
    <w:p w14:paraId="55C2031E" w14:textId="3C07D4F9" w:rsidR="00F57F39" w:rsidRDefault="00F57F39" w:rsidP="00AE34DD">
      <w:pPr>
        <w:jc w:val="both"/>
        <w:rPr>
          <w:rFonts w:ascii="Times" w:hAnsi="Times" w:cs="Lucidasans"/>
          <w:bCs/>
        </w:rPr>
      </w:pPr>
    </w:p>
    <w:p w14:paraId="057052D2" w14:textId="67409680" w:rsidR="00F57F39" w:rsidRPr="00F57F39" w:rsidRDefault="00F57F39" w:rsidP="00F57F39">
      <w:pPr>
        <w:jc w:val="both"/>
        <w:rPr>
          <w:rFonts w:ascii="Times" w:hAnsi="Times" w:cs="Lucidasans"/>
          <w:bCs/>
        </w:rPr>
      </w:pPr>
      <w:r w:rsidRPr="00F57F39">
        <w:rPr>
          <w:rFonts w:ascii="Times" w:hAnsi="Times" w:cs="Lucidasans"/>
          <w:bCs/>
        </w:rPr>
        <w:t>Among the structural proteins of SARS-CoV-2, the nucleocapsid (N) protein stands out for its pronounced structural heterogeneity and multifunctionality throughout the viral life cycle, including RNA packaging, genome replication, and immune modulation. Comprising 419 amino acids, the N protein features two folded domains</w:t>
      </w:r>
      <w:r w:rsidR="00EB1A95">
        <w:rPr>
          <w:rFonts w:ascii="Times" w:hAnsi="Times" w:cs="Lucidasans"/>
          <w:bCs/>
        </w:rPr>
        <w:t xml:space="preserve"> (</w:t>
      </w:r>
      <w:r w:rsidRPr="00F57F39">
        <w:rPr>
          <w:rFonts w:ascii="Times" w:hAnsi="Times" w:cs="Lucidasans"/>
          <w:bCs/>
        </w:rPr>
        <w:t>NTD and CTD</w:t>
      </w:r>
      <w:r w:rsidR="00EB1A95">
        <w:rPr>
          <w:rFonts w:ascii="Times" w:hAnsi="Times" w:cs="Lucidasans"/>
          <w:bCs/>
        </w:rPr>
        <w:t>)</w:t>
      </w:r>
      <w:r w:rsidR="004B22A7">
        <w:rPr>
          <w:rFonts w:ascii="Times" w:hAnsi="Times" w:cs="Lucidasans"/>
          <w:bCs/>
        </w:rPr>
        <w:t xml:space="preserve"> </w:t>
      </w:r>
      <w:r w:rsidRPr="00F57F39">
        <w:rPr>
          <w:rFonts w:ascii="Times" w:hAnsi="Times" w:cs="Lucidasans"/>
          <w:bCs/>
        </w:rPr>
        <w:t>interspersed with three extensive intrinsically disordered regions (IDR1,</w:t>
      </w:r>
      <w:r w:rsidR="004B22A7">
        <w:rPr>
          <w:rFonts w:ascii="Times" w:hAnsi="Times" w:cs="Lucidasans"/>
          <w:bCs/>
        </w:rPr>
        <w:t xml:space="preserve"> -2, -3</w:t>
      </w:r>
      <w:r w:rsidRPr="00F57F39">
        <w:rPr>
          <w:rFonts w:ascii="Times" w:hAnsi="Times" w:cs="Lucidasans"/>
          <w:bCs/>
        </w:rPr>
        <w:t>). The coexistence of ordered and disordered regions raises an important</w:t>
      </w:r>
      <w:r>
        <w:rPr>
          <w:rFonts w:ascii="Times" w:hAnsi="Times" w:cs="Lucidasans"/>
          <w:bCs/>
        </w:rPr>
        <w:t xml:space="preserve"> </w:t>
      </w:r>
      <w:r w:rsidRPr="00F57F39">
        <w:rPr>
          <w:rFonts w:ascii="Times" w:hAnsi="Times" w:cs="Lucidasans"/>
          <w:bCs/>
        </w:rPr>
        <w:t>question: how does this heterogeneous structural organization influence its interaction with highly</w:t>
      </w:r>
      <w:r>
        <w:rPr>
          <w:rFonts w:ascii="Times" w:hAnsi="Times" w:cs="Lucidasans"/>
          <w:bCs/>
        </w:rPr>
        <w:t xml:space="preserve"> </w:t>
      </w:r>
      <w:r w:rsidRPr="00F57F39">
        <w:rPr>
          <w:rFonts w:ascii="Times" w:hAnsi="Times" w:cs="Lucidasans"/>
          <w:bCs/>
        </w:rPr>
        <w:t>charged ligands such as RNA or heparins?</w:t>
      </w:r>
    </w:p>
    <w:p w14:paraId="234C2E28" w14:textId="60BDAA71" w:rsidR="00EB1A95" w:rsidRPr="00EB1A95" w:rsidRDefault="004B22A7" w:rsidP="00EB1A95">
      <w:pPr>
        <w:jc w:val="both"/>
        <w:rPr>
          <w:rFonts w:ascii="Times" w:hAnsi="Times" w:cs="Lucidasans"/>
          <w:bCs/>
        </w:rPr>
      </w:pPr>
      <w:r w:rsidRPr="002A15CF">
        <w:rPr>
          <w:rFonts w:ascii="Arial" w:hAnsi="Arial" w:cs="Arial"/>
          <w:noProof/>
        </w:rPr>
        <w:drawing>
          <wp:anchor distT="0" distB="0" distL="114300" distR="114300" simplePos="0" relativeHeight="251658240" behindDoc="0" locked="0" layoutInCell="1" allowOverlap="1" wp14:anchorId="7CA94072" wp14:editId="2661420B">
            <wp:simplePos x="0" y="0"/>
            <wp:positionH relativeFrom="margin">
              <wp:posOffset>2320424</wp:posOffset>
            </wp:positionH>
            <wp:positionV relativeFrom="margin">
              <wp:posOffset>3430905</wp:posOffset>
            </wp:positionV>
            <wp:extent cx="3371850" cy="1685925"/>
            <wp:effectExtent l="0" t="0" r="6350" b="3175"/>
            <wp:wrapSquare wrapText="bothSides"/>
            <wp:docPr id="1" name="Picture 18" descr="Immagine che contiene disegno, Arte bambini,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8" descr="Immagine che contiene disegno, Arte bambini, mappa&#10;&#10;Descrizione generata automaticamente"/>
                    <pic:cNvPicPr/>
                  </pic:nvPicPr>
                  <pic:blipFill rotWithShape="1">
                    <a:blip r:embed="rId6" cstate="print">
                      <a:extLst>
                        <a:ext uri="{28A0092B-C50C-407E-A947-70E740481C1C}">
                          <a14:useLocalDpi xmlns:a14="http://schemas.microsoft.com/office/drawing/2010/main" val="0"/>
                        </a:ext>
                      </a:extLst>
                    </a:blip>
                    <a:srcRect l="-1208" t="6648" r="4170"/>
                    <a:stretch/>
                  </pic:blipFill>
                  <pic:spPr bwMode="auto">
                    <a:xfrm>
                      <a:off x="0" y="0"/>
                      <a:ext cx="3371850" cy="1685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B1A95" w:rsidRPr="00EB1A95">
        <w:rPr>
          <w:rFonts w:ascii="Times" w:hAnsi="Times" w:cs="Lucidasans"/>
          <w:bCs/>
        </w:rPr>
        <w:t>Extensive studies have investigated individual N protein constructs, particularly the N-terminal</w:t>
      </w:r>
    </w:p>
    <w:p w14:paraId="6738BEB5" w14:textId="3CE52948" w:rsidR="00F57F39" w:rsidRPr="00F57F39" w:rsidRDefault="00EB1A95" w:rsidP="00F57F39">
      <w:pPr>
        <w:jc w:val="both"/>
        <w:rPr>
          <w:rFonts w:ascii="Times" w:hAnsi="Times" w:cs="Lucidasans"/>
          <w:bCs/>
        </w:rPr>
      </w:pPr>
      <w:r w:rsidRPr="00EB1A95">
        <w:rPr>
          <w:rFonts w:ascii="Times" w:hAnsi="Times" w:cs="Lucidasans"/>
          <w:bCs/>
        </w:rPr>
        <w:t>domain (NTD, residues 44</w:t>
      </w:r>
      <w:r w:rsidRPr="00EB1A95">
        <w:rPr>
          <w:rFonts w:ascii="Times" w:hAnsi="Times" w:cs="Lucidasans" w:hint="cs"/>
          <w:bCs/>
        </w:rPr>
        <w:t>–</w:t>
      </w:r>
      <w:r w:rsidRPr="00EB1A95">
        <w:rPr>
          <w:rFonts w:ascii="Times" w:hAnsi="Times" w:cs="Lucidasans"/>
          <w:bCs/>
        </w:rPr>
        <w:t>180) and the N-terminal region (NTR, residues 1</w:t>
      </w:r>
      <w:r w:rsidRPr="00EB1A95">
        <w:rPr>
          <w:rFonts w:ascii="Times" w:hAnsi="Times" w:cs="Lucidasans" w:hint="cs"/>
          <w:bCs/>
        </w:rPr>
        <w:t>–</w:t>
      </w:r>
      <w:r w:rsidRPr="00EB1A95">
        <w:rPr>
          <w:rFonts w:ascii="Times" w:hAnsi="Times" w:cs="Lucidasans"/>
          <w:bCs/>
        </w:rPr>
        <w:t>248) [1, 2]. Building</w:t>
      </w:r>
      <w:r w:rsidR="004B22A7">
        <w:rPr>
          <w:rFonts w:ascii="Times" w:hAnsi="Times" w:cs="Lucidasans"/>
          <w:bCs/>
        </w:rPr>
        <w:t xml:space="preserve"> </w:t>
      </w:r>
      <w:r w:rsidRPr="00EB1A95">
        <w:rPr>
          <w:rFonts w:ascii="Times" w:hAnsi="Times" w:cs="Lucidasans"/>
          <w:bCs/>
        </w:rPr>
        <w:t>on this knowledge,</w:t>
      </w:r>
      <w:r w:rsidRPr="00EB1A95">
        <w:rPr>
          <w:rFonts w:ascii="Times" w:hAnsi="Times" w:cs="Lucidasans"/>
          <w:bCs/>
          <w:noProof/>
        </w:rPr>
        <w:t xml:space="preserve"> </w:t>
      </w:r>
      <w:r w:rsidR="00F57F39" w:rsidRPr="00F57F39">
        <w:rPr>
          <w:rFonts w:ascii="Times" w:hAnsi="Times" w:cs="Lucidasans"/>
          <w:bCs/>
        </w:rPr>
        <w:t xml:space="preserve">we employed high-resolution NMR spectroscopy as the central analytical tool to characterize the interaction </w:t>
      </w:r>
      <w:r w:rsidR="004B22A7" w:rsidRPr="00F57F39">
        <w:rPr>
          <w:rFonts w:ascii="Times" w:hAnsi="Times" w:cs="Lucidasans"/>
          <w:bCs/>
        </w:rPr>
        <w:t xml:space="preserve">of </w:t>
      </w:r>
      <w:r w:rsidR="004B22A7">
        <w:rPr>
          <w:rFonts w:ascii="Times" w:hAnsi="Times" w:cs="Lucidasans"/>
          <w:bCs/>
        </w:rPr>
        <w:t>the</w:t>
      </w:r>
      <w:r>
        <w:rPr>
          <w:rFonts w:ascii="Times" w:hAnsi="Times" w:cs="Lucidasans"/>
          <w:bCs/>
        </w:rPr>
        <w:t xml:space="preserve"> </w:t>
      </w:r>
      <w:r w:rsidR="00F57F39" w:rsidRPr="00F57F39">
        <w:rPr>
          <w:rFonts w:ascii="Times" w:hAnsi="Times" w:cs="Lucidasans"/>
          <w:bCs/>
        </w:rPr>
        <w:t>three N protein constructs</w:t>
      </w:r>
      <w:r w:rsidRPr="00F57F39">
        <w:rPr>
          <w:rFonts w:ascii="Times" w:hAnsi="Times" w:cs="Lucidasans"/>
          <w:bCs/>
        </w:rPr>
        <w:t>—</w:t>
      </w:r>
      <w:r>
        <w:rPr>
          <w:rFonts w:ascii="Times" w:hAnsi="Times" w:cs="Lucidasans"/>
          <w:bCs/>
        </w:rPr>
        <w:t xml:space="preserve"> </w:t>
      </w:r>
      <w:r w:rsidR="00F57F39" w:rsidRPr="00F57F39">
        <w:rPr>
          <w:rFonts w:ascii="Times" w:hAnsi="Times" w:cs="Lucidasans"/>
          <w:bCs/>
        </w:rPr>
        <w:t xml:space="preserve">NTD, </w:t>
      </w:r>
      <w:r>
        <w:rPr>
          <w:rFonts w:ascii="Times" w:hAnsi="Times" w:cs="Lucidasans"/>
          <w:bCs/>
        </w:rPr>
        <w:t>NTR</w:t>
      </w:r>
      <w:r w:rsidR="00F57F39" w:rsidRPr="00F57F39">
        <w:rPr>
          <w:rFonts w:ascii="Times" w:hAnsi="Times" w:cs="Lucidasans"/>
          <w:bCs/>
        </w:rPr>
        <w:t xml:space="preserve">, and </w:t>
      </w:r>
      <w:r>
        <w:rPr>
          <w:rFonts w:ascii="Times" w:hAnsi="Times" w:cs="Lucidasans"/>
          <w:bCs/>
        </w:rPr>
        <w:t>N full length protein</w:t>
      </w:r>
      <w:r w:rsidR="00F57F39" w:rsidRPr="00F57F39">
        <w:rPr>
          <w:rFonts w:ascii="Times" w:hAnsi="Times" w:cs="Lucidasans"/>
          <w:bCs/>
        </w:rPr>
        <w:t>—with heparin-based ligands of increasing oligosaccharide length. Our NMR data reveal a clear correlation between ligand size and binding affinity: longer saccharide chains induce stronger and more widespread chemical shift perturbations, particularly within positively charged regions.</w:t>
      </w:r>
      <w:r>
        <w:rPr>
          <w:rFonts w:ascii="Times" w:hAnsi="Times" w:cs="Lucidasans"/>
          <w:bCs/>
        </w:rPr>
        <w:t xml:space="preserve"> </w:t>
      </w:r>
      <w:r w:rsidR="00F57F39" w:rsidRPr="00F57F39">
        <w:rPr>
          <w:rFonts w:ascii="Times" w:hAnsi="Times" w:cs="Lucidasans"/>
          <w:bCs/>
        </w:rPr>
        <w:t xml:space="preserve">Notably, the inclusion of intrinsically disordered segments in the NTR construct significantly enhances the interaction compared to NTD alone, underscoring the functional relevance of structural disorder. </w:t>
      </w:r>
      <w:r w:rsidR="00E40EDC">
        <w:rPr>
          <w:rFonts w:ascii="Times" w:hAnsi="Times" w:cs="Lucidasans"/>
          <w:bCs/>
        </w:rPr>
        <w:t>T</w:t>
      </w:r>
      <w:r w:rsidR="00F57F39" w:rsidRPr="00F57F39">
        <w:rPr>
          <w:rFonts w:ascii="Times" w:hAnsi="Times" w:cs="Lucidasans"/>
          <w:bCs/>
        </w:rPr>
        <w:t>he full-length protein</w:t>
      </w:r>
      <w:r w:rsidR="00F57F39">
        <w:rPr>
          <w:rFonts w:ascii="Times" w:hAnsi="Times" w:cs="Lucidasans"/>
          <w:bCs/>
        </w:rPr>
        <w:t xml:space="preserve"> </w:t>
      </w:r>
      <w:r w:rsidR="00F57F39" w:rsidRPr="00F57F39">
        <w:rPr>
          <w:rFonts w:ascii="Times" w:hAnsi="Times" w:cs="Lucidasans"/>
          <w:bCs/>
        </w:rPr>
        <w:t>displayed distinct spectral behavior, potentially reflecting additional binding contributions from IDR3</w:t>
      </w:r>
      <w:r w:rsidR="00F57F39">
        <w:rPr>
          <w:rFonts w:ascii="Times" w:hAnsi="Times" w:cs="Lucidasans"/>
          <w:bCs/>
        </w:rPr>
        <w:t xml:space="preserve"> </w:t>
      </w:r>
      <w:r w:rsidR="00F57F39" w:rsidRPr="00F57F39">
        <w:rPr>
          <w:rFonts w:ascii="Times" w:hAnsi="Times" w:cs="Lucidasans"/>
          <w:bCs/>
        </w:rPr>
        <w:t>and altered dynamics due to its complex and dimeric structure.</w:t>
      </w:r>
      <w:r>
        <w:rPr>
          <w:rFonts w:ascii="Times" w:hAnsi="Times" w:cs="Lucidasans"/>
          <w:bCs/>
        </w:rPr>
        <w:t xml:space="preserve"> </w:t>
      </w:r>
      <w:r w:rsidR="00F57F39" w:rsidRPr="00F57F39">
        <w:rPr>
          <w:rFonts w:ascii="Times" w:hAnsi="Times" w:cs="Lucidasans"/>
          <w:bCs/>
        </w:rPr>
        <w:t>These findings highlight the sensitivity and versatility of NMR spectroscopy in dissecting the dynamic and multivalent nature of protein–polyanion interactions, particularly in proteins with a complex domain architecture. Our results support a model in which disordered regions are not merely flexible linkers, but active modulators of ligand binding, capable of tuning interaction specificity and affinity. This work emphasizes the necessity of investigating full-length, multidomain proteins by NMR to fully capture the intricacies of their functional mechanisms.</w:t>
      </w:r>
    </w:p>
    <w:p w14:paraId="5640FB57" w14:textId="77777777" w:rsidR="00082B2D" w:rsidRDefault="00082B2D">
      <w:pPr>
        <w:rPr>
          <w:rFonts w:ascii="Times" w:eastAsia="Times" w:hAnsi="Times" w:cs="Times"/>
        </w:rPr>
      </w:pPr>
    </w:p>
    <w:p w14:paraId="4374469C" w14:textId="78B20D8E" w:rsidR="00082B2D" w:rsidRPr="00400029" w:rsidRDefault="00082B2D">
      <w:pPr>
        <w:rPr>
          <w:rFonts w:ascii="Times" w:eastAsia="Times" w:hAnsi="Times" w:cs="Times"/>
          <w:lang w:val="it-IT"/>
        </w:rPr>
      </w:pPr>
      <w:proofErr w:type="spellStart"/>
      <w:r w:rsidRPr="00400029">
        <w:rPr>
          <w:rFonts w:ascii="Times" w:eastAsia="Times" w:hAnsi="Times" w:cs="Times"/>
          <w:lang w:val="it-IT"/>
        </w:rPr>
        <w:t>References</w:t>
      </w:r>
      <w:proofErr w:type="spellEnd"/>
      <w:r w:rsidRPr="00400029">
        <w:rPr>
          <w:rFonts w:ascii="Times" w:eastAsia="Times" w:hAnsi="Times" w:cs="Times"/>
          <w:lang w:val="it-IT"/>
        </w:rPr>
        <w:t xml:space="preserve"> </w:t>
      </w:r>
    </w:p>
    <w:p w14:paraId="003934CB" w14:textId="77777777" w:rsidR="00EB1A95" w:rsidRPr="00EB1A95" w:rsidRDefault="00EB1A95" w:rsidP="00EB1A95">
      <w:pPr>
        <w:rPr>
          <w:rFonts w:ascii="Times New Roman" w:eastAsia="Times" w:hAnsi="Times New Roman"/>
          <w:sz w:val="20"/>
          <w:szCs w:val="20"/>
          <w:lang w:val="it-IT"/>
        </w:rPr>
      </w:pPr>
      <w:r w:rsidRPr="00EB1A95">
        <w:rPr>
          <w:rFonts w:ascii="Times New Roman" w:eastAsia="Times" w:hAnsi="Times New Roman"/>
          <w:sz w:val="20"/>
          <w:szCs w:val="20"/>
          <w:lang w:val="it-IT"/>
        </w:rPr>
        <w:t xml:space="preserve">[1] L. </w:t>
      </w:r>
      <w:proofErr w:type="spellStart"/>
      <w:r w:rsidRPr="00EB1A95">
        <w:rPr>
          <w:rFonts w:ascii="Times New Roman" w:eastAsia="Times" w:hAnsi="Times New Roman"/>
          <w:sz w:val="20"/>
          <w:szCs w:val="20"/>
          <w:lang w:val="it-IT"/>
        </w:rPr>
        <w:t>Pontoriero</w:t>
      </w:r>
      <w:proofErr w:type="spellEnd"/>
      <w:r w:rsidRPr="00EB1A95">
        <w:rPr>
          <w:rFonts w:ascii="Times New Roman" w:eastAsia="Times" w:hAnsi="Times New Roman"/>
          <w:sz w:val="20"/>
          <w:szCs w:val="20"/>
          <w:lang w:val="it-IT"/>
        </w:rPr>
        <w:t xml:space="preserve">, M. Schiavina, S. M. Korn, A. </w:t>
      </w:r>
      <w:proofErr w:type="spellStart"/>
      <w:r w:rsidRPr="00EB1A95">
        <w:rPr>
          <w:rFonts w:ascii="Times New Roman" w:eastAsia="Times" w:hAnsi="Times New Roman"/>
          <w:sz w:val="20"/>
          <w:szCs w:val="20"/>
          <w:lang w:val="it-IT"/>
        </w:rPr>
        <w:t>Schlundt</w:t>
      </w:r>
      <w:proofErr w:type="spellEnd"/>
      <w:r w:rsidRPr="00EB1A95">
        <w:rPr>
          <w:rFonts w:ascii="Times New Roman" w:eastAsia="Times" w:hAnsi="Times New Roman"/>
          <w:sz w:val="20"/>
          <w:szCs w:val="20"/>
          <w:lang w:val="it-IT"/>
        </w:rPr>
        <w:t xml:space="preserve">, R. Pierattelli, I. C. Felli, </w:t>
      </w:r>
      <w:proofErr w:type="spellStart"/>
      <w:r w:rsidRPr="00EB1A95">
        <w:rPr>
          <w:rFonts w:ascii="Times New Roman" w:eastAsia="Times" w:hAnsi="Times New Roman"/>
          <w:sz w:val="20"/>
          <w:szCs w:val="20"/>
          <w:lang w:val="it-IT"/>
        </w:rPr>
        <w:t>Biomolecules</w:t>
      </w:r>
      <w:proofErr w:type="spellEnd"/>
      <w:r w:rsidRPr="00EB1A95">
        <w:rPr>
          <w:rFonts w:ascii="Times New Roman" w:eastAsia="Times" w:hAnsi="Times New Roman"/>
          <w:sz w:val="20"/>
          <w:szCs w:val="20"/>
          <w:lang w:val="it-IT"/>
        </w:rPr>
        <w:t xml:space="preserve"> 12, 929 (2022)</w:t>
      </w:r>
    </w:p>
    <w:p w14:paraId="61464DEE" w14:textId="3B8CE92D" w:rsidR="00EB1A95" w:rsidRDefault="00EB1A95">
      <w:pPr>
        <w:rPr>
          <w:rFonts w:ascii="Times New Roman" w:eastAsia="Times" w:hAnsi="Times New Roman"/>
          <w:sz w:val="20"/>
          <w:szCs w:val="20"/>
          <w:lang w:val="it-IT"/>
        </w:rPr>
      </w:pPr>
      <w:r w:rsidRPr="00EB1A95">
        <w:rPr>
          <w:rFonts w:ascii="Times New Roman" w:eastAsia="Times" w:hAnsi="Times New Roman"/>
          <w:sz w:val="20"/>
          <w:szCs w:val="20"/>
          <w:lang w:val="it-IT"/>
        </w:rPr>
        <w:t xml:space="preserve">[2] M. Schiavina, L. </w:t>
      </w:r>
      <w:proofErr w:type="spellStart"/>
      <w:r w:rsidRPr="00EB1A95">
        <w:rPr>
          <w:rFonts w:ascii="Times New Roman" w:eastAsia="Times" w:hAnsi="Times New Roman"/>
          <w:sz w:val="20"/>
          <w:szCs w:val="20"/>
          <w:lang w:val="it-IT"/>
        </w:rPr>
        <w:t>Pontoriero</w:t>
      </w:r>
      <w:proofErr w:type="spellEnd"/>
      <w:r w:rsidRPr="00EB1A95">
        <w:rPr>
          <w:rFonts w:ascii="Times New Roman" w:eastAsia="Times" w:hAnsi="Times New Roman"/>
          <w:sz w:val="20"/>
          <w:szCs w:val="20"/>
          <w:lang w:val="it-IT"/>
        </w:rPr>
        <w:t xml:space="preserve">, G. Tagliaferro, R. Pierattelli, I. C. Felli, </w:t>
      </w:r>
      <w:proofErr w:type="spellStart"/>
      <w:r w:rsidRPr="00EB1A95">
        <w:rPr>
          <w:rFonts w:ascii="Times New Roman" w:eastAsia="Times" w:hAnsi="Times New Roman"/>
          <w:sz w:val="20"/>
          <w:szCs w:val="20"/>
          <w:lang w:val="it-IT"/>
        </w:rPr>
        <w:t>Biomolecules</w:t>
      </w:r>
      <w:proofErr w:type="spellEnd"/>
      <w:r w:rsidRPr="00EB1A95">
        <w:rPr>
          <w:rFonts w:ascii="Times New Roman" w:eastAsia="Times" w:hAnsi="Times New Roman"/>
          <w:sz w:val="20"/>
          <w:szCs w:val="20"/>
          <w:lang w:val="it-IT"/>
        </w:rPr>
        <w:t xml:space="preserve"> 12, 1302 (2022)</w:t>
      </w:r>
    </w:p>
    <w:p w14:paraId="7DF69669" w14:textId="77777777" w:rsidR="004B4C6D" w:rsidRPr="00EB1A95" w:rsidRDefault="004B4C6D">
      <w:pPr>
        <w:rPr>
          <w:rFonts w:ascii="Times New Roman" w:eastAsia="Times" w:hAnsi="Times New Roman"/>
          <w:sz w:val="20"/>
          <w:szCs w:val="20"/>
          <w:lang w:val="it-IT"/>
        </w:rPr>
      </w:pPr>
    </w:p>
    <w:p w14:paraId="479A60A8" w14:textId="377A5E83" w:rsidR="00082B2D" w:rsidRPr="00FB4AB4" w:rsidRDefault="004B4C6D">
      <w:pPr>
        <w:rPr>
          <w:rFonts w:ascii="Times" w:hAnsi="Times" w:cs="Lucidasans"/>
          <w:sz w:val="16"/>
          <w:szCs w:val="16"/>
          <w:lang w:val="it-IT"/>
        </w:rPr>
      </w:pPr>
      <w:r w:rsidRPr="004B4C6D">
        <w:rPr>
          <w:rFonts w:ascii="Times" w:hAnsi="Times" w:cs="Lucidasans"/>
          <w:sz w:val="16"/>
          <w:szCs w:val="16"/>
        </w:rPr>
        <w:t xml:space="preserve">The support of the CERM/CIRMMP center of Instruct-ERIC is gratefully acknowledged. The Covid19-NMR consortium is greatly acknowledged for stimulating discussions. This work was supported in part by the project </w:t>
      </w:r>
      <w:r w:rsidRPr="004B4C6D">
        <w:rPr>
          <w:rFonts w:ascii="Times" w:hAnsi="Times" w:cs="Lucidasans" w:hint="cs"/>
          <w:sz w:val="16"/>
          <w:szCs w:val="16"/>
        </w:rPr>
        <w:t>“</w:t>
      </w:r>
      <w:r w:rsidRPr="004B4C6D">
        <w:rPr>
          <w:rFonts w:ascii="Times" w:hAnsi="Times" w:cs="Lucidasans"/>
          <w:sz w:val="16"/>
          <w:szCs w:val="16"/>
        </w:rPr>
        <w:t xml:space="preserve">Potentiating the Italian Capacity for Structural Biology Services in Instruct-ERIC" (ITACA.SB, Project no. </w:t>
      </w:r>
      <w:r w:rsidRPr="004B4C6D">
        <w:rPr>
          <w:rFonts w:ascii="Times" w:hAnsi="Times" w:cs="Lucidasans"/>
          <w:sz w:val="16"/>
          <w:szCs w:val="16"/>
          <w:lang w:val="it-IT"/>
        </w:rPr>
        <w:t xml:space="preserve">IR0000009) and by the project ID-COVID (FISR2020IP_02112). </w:t>
      </w:r>
    </w:p>
    <w:sectPr w:rsidR="00082B2D" w:rsidRPr="00FB4AB4" w:rsidSect="00216EEE">
      <w:footnotePr>
        <w:pos w:val="beneathText"/>
      </w:footnotePr>
      <w:pgSz w:w="11905" w:h="16837"/>
      <w:pgMar w:top="1440" w:right="1440" w:bottom="1440" w:left="1440" w:header="1701" w:footer="1701"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Bitstream Vera Serif">
    <w:altName w:val="Times New Roman"/>
    <w:panose1 w:val="020B0604020202020204"/>
    <w:charset w:val="00"/>
    <w:family w:val="roman"/>
    <w:pitch w:val="variable"/>
  </w:font>
  <w:font w:name="Bitstream Vera Sans">
    <w:altName w:val="Times New Roman"/>
    <w:panose1 w:val="020B0604020202020204"/>
    <w:charset w:val="00"/>
    <w:family w:val="auto"/>
    <w:pitch w:val="variable"/>
  </w:font>
  <w:font w:name="Lucidasans">
    <w:altName w:val="Times New Roman"/>
    <w:panose1 w:val="020B0604020202020204"/>
    <w:charset w:val="00"/>
    <w:family w:val="auto"/>
    <w:pitch w:val="variable"/>
  </w:font>
  <w:font w:name="Mincho">
    <w:altName w:val="明朝"/>
    <w:panose1 w:val="020B0604020202020204"/>
    <w:charset w:val="80"/>
    <w:family w:val="roman"/>
    <w:pitch w:val="fixed"/>
    <w:sig w:usb0="00000001" w:usb1="08070000" w:usb2="00000010" w:usb3="00000000" w:csb0="00020000"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ACF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Titolo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8647809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displayBackgroundShape/>
  <w:proofState w:spelling="clean" w:grammar="clean"/>
  <w:defaultTabStop w:val="709"/>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29AC"/>
    <w:rsid w:val="000778B2"/>
    <w:rsid w:val="00082B2D"/>
    <w:rsid w:val="000B14C1"/>
    <w:rsid w:val="000B29D0"/>
    <w:rsid w:val="001C3C9E"/>
    <w:rsid w:val="001E36A7"/>
    <w:rsid w:val="001E474E"/>
    <w:rsid w:val="00216EEE"/>
    <w:rsid w:val="00275A71"/>
    <w:rsid w:val="002C6E0A"/>
    <w:rsid w:val="00307C9B"/>
    <w:rsid w:val="003527FF"/>
    <w:rsid w:val="003A26C7"/>
    <w:rsid w:val="003F4C73"/>
    <w:rsid w:val="00400029"/>
    <w:rsid w:val="004A389D"/>
    <w:rsid w:val="004B22A7"/>
    <w:rsid w:val="004B4C6D"/>
    <w:rsid w:val="004E184F"/>
    <w:rsid w:val="00516BE3"/>
    <w:rsid w:val="00577830"/>
    <w:rsid w:val="00581EF3"/>
    <w:rsid w:val="005B3A5F"/>
    <w:rsid w:val="006929AC"/>
    <w:rsid w:val="006F06BC"/>
    <w:rsid w:val="00761AFA"/>
    <w:rsid w:val="00775E01"/>
    <w:rsid w:val="008A0D98"/>
    <w:rsid w:val="008A3E4D"/>
    <w:rsid w:val="009205E3"/>
    <w:rsid w:val="00970291"/>
    <w:rsid w:val="009F7D9D"/>
    <w:rsid w:val="00AB165F"/>
    <w:rsid w:val="00AB286E"/>
    <w:rsid w:val="00AC7DD5"/>
    <w:rsid w:val="00AE34DD"/>
    <w:rsid w:val="00B37D0D"/>
    <w:rsid w:val="00B86B55"/>
    <w:rsid w:val="00B938F2"/>
    <w:rsid w:val="00BA60E6"/>
    <w:rsid w:val="00BC1CDF"/>
    <w:rsid w:val="00BD6818"/>
    <w:rsid w:val="00BF5699"/>
    <w:rsid w:val="00C93558"/>
    <w:rsid w:val="00CB559F"/>
    <w:rsid w:val="00D4324E"/>
    <w:rsid w:val="00D92968"/>
    <w:rsid w:val="00E40EDC"/>
    <w:rsid w:val="00EA374E"/>
    <w:rsid w:val="00EB1A95"/>
    <w:rsid w:val="00F57F39"/>
    <w:rsid w:val="00FA6C08"/>
    <w:rsid w:val="00FB4A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B41E3"/>
  <w15:chartTrackingRefBased/>
  <w15:docId w15:val="{3A6C0B53-7616-401B-BD17-5F2BFA60C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suppressAutoHyphens/>
    </w:pPr>
    <w:rPr>
      <w:rFonts w:ascii="Bitstream Vera Serif" w:eastAsia="Bitstream Vera Sans" w:hAnsi="Bitstream Vera Serif"/>
      <w:sz w:val="24"/>
      <w:szCs w:val="24"/>
      <w:lang w:val="en-US"/>
    </w:rPr>
  </w:style>
  <w:style w:type="paragraph" w:styleId="Titolo3">
    <w:name w:val="heading 3"/>
    <w:basedOn w:val="Heading"/>
    <w:next w:val="Corpotesto"/>
    <w:qFormat/>
    <w:pPr>
      <w:numPr>
        <w:ilvl w:val="2"/>
        <w:numId w:val="1"/>
      </w:numPr>
      <w:outlineLvl w:val="2"/>
    </w:pPr>
    <w:rPr>
      <w:rFonts w:ascii="Bitstream Vera Serif" w:eastAsia="Bitstream Vera Sans" w:hAnsi="Bitstream Vera Serif"/>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style>
  <w:style w:type="character" w:styleId="Collegamentoipertestuale">
    <w:name w:val="Hyperlink"/>
    <w:semiHidden/>
    <w:rPr>
      <w:color w:val="000080"/>
      <w:u w:val="single"/>
    </w:rPr>
  </w:style>
  <w:style w:type="character" w:styleId="Collegamentovisitato">
    <w:name w:val="FollowedHyperlink"/>
    <w:semiHidden/>
    <w:rPr>
      <w:color w:val="800000"/>
      <w:u w:val="single"/>
    </w:rPr>
  </w:style>
  <w:style w:type="paragraph" w:customStyle="1" w:styleId="Heading">
    <w:name w:val="Heading"/>
    <w:basedOn w:val="Normale"/>
    <w:next w:val="Corpotesto"/>
    <w:pPr>
      <w:keepNext/>
      <w:spacing w:before="240" w:after="283"/>
    </w:pPr>
    <w:rPr>
      <w:rFonts w:ascii="Bitstream Vera Sans" w:eastAsia="Mincho" w:hAnsi="Bitstream Vera Sans" w:cs="Lucidasans"/>
      <w:sz w:val="28"/>
      <w:szCs w:val="28"/>
    </w:rPr>
  </w:style>
  <w:style w:type="paragraph" w:styleId="Corpotesto">
    <w:name w:val="Body Text"/>
    <w:basedOn w:val="Normale"/>
    <w:semiHidden/>
    <w:pPr>
      <w:spacing w:after="120"/>
    </w:pPr>
  </w:style>
  <w:style w:type="paragraph" w:styleId="Elenco">
    <w:name w:val="List"/>
    <w:basedOn w:val="Corpotesto"/>
    <w:semiHidden/>
    <w:rPr>
      <w:rFonts w:cs="Lucidasans"/>
    </w:rPr>
  </w:style>
  <w:style w:type="paragraph" w:customStyle="1" w:styleId="Caption1">
    <w:name w:val="Caption1"/>
    <w:basedOn w:val="Normale"/>
    <w:pPr>
      <w:suppressLineNumbers/>
      <w:spacing w:before="120" w:after="120"/>
    </w:pPr>
    <w:rPr>
      <w:rFonts w:cs="Lucidasans"/>
      <w:i/>
      <w:iCs/>
      <w:sz w:val="20"/>
      <w:szCs w:val="20"/>
    </w:rPr>
  </w:style>
  <w:style w:type="paragraph" w:customStyle="1" w:styleId="Index">
    <w:name w:val="Index"/>
    <w:basedOn w:val="Normale"/>
    <w:pPr>
      <w:suppressLineNumbers/>
    </w:pPr>
    <w:rPr>
      <w:rFonts w:cs="Lucidasans"/>
    </w:rPr>
  </w:style>
  <w:style w:type="paragraph" w:styleId="NormaleWeb">
    <w:name w:val="Normal (Web)"/>
    <w:basedOn w:val="Normale"/>
    <w:uiPriority w:val="99"/>
    <w:semiHidden/>
    <w:unhideWhenUsed/>
    <w:rsid w:val="00B37D0D"/>
    <w:rPr>
      <w:rFonts w:ascii="Times New Roman" w:hAnsi="Times New Roman"/>
    </w:rPr>
  </w:style>
  <w:style w:type="character" w:styleId="Testosegnaposto">
    <w:name w:val="Placeholder Text"/>
    <w:basedOn w:val="Carpredefinitoparagrafo"/>
    <w:uiPriority w:val="99"/>
    <w:semiHidden/>
    <w:rsid w:val="00D92968"/>
    <w:rPr>
      <w:color w:val="808080"/>
    </w:rPr>
  </w:style>
  <w:style w:type="paragraph" w:styleId="Revisione">
    <w:name w:val="Revision"/>
    <w:hidden/>
    <w:uiPriority w:val="99"/>
    <w:semiHidden/>
    <w:rsid w:val="00EA374E"/>
    <w:rPr>
      <w:rFonts w:ascii="Bitstream Vera Serif" w:eastAsia="Bitstream Vera Sans" w:hAnsi="Bitstream Vera Serif"/>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2037572">
      <w:bodyDiv w:val="1"/>
      <w:marLeft w:val="0"/>
      <w:marRight w:val="0"/>
      <w:marTop w:val="0"/>
      <w:marBottom w:val="0"/>
      <w:divBdr>
        <w:top w:val="none" w:sz="0" w:space="0" w:color="auto"/>
        <w:left w:val="none" w:sz="0" w:space="0" w:color="auto"/>
        <w:bottom w:val="none" w:sz="0" w:space="0" w:color="auto"/>
        <w:right w:val="none" w:sz="0" w:space="0" w:color="auto"/>
      </w:divBdr>
    </w:div>
    <w:div w:id="329213545">
      <w:bodyDiv w:val="1"/>
      <w:marLeft w:val="0"/>
      <w:marRight w:val="0"/>
      <w:marTop w:val="0"/>
      <w:marBottom w:val="0"/>
      <w:divBdr>
        <w:top w:val="none" w:sz="0" w:space="0" w:color="auto"/>
        <w:left w:val="none" w:sz="0" w:space="0" w:color="auto"/>
        <w:bottom w:val="none" w:sz="0" w:space="0" w:color="auto"/>
        <w:right w:val="none" w:sz="0" w:space="0" w:color="auto"/>
      </w:divBdr>
      <w:divsChild>
        <w:div w:id="1730153023">
          <w:marLeft w:val="640"/>
          <w:marRight w:val="0"/>
          <w:marTop w:val="0"/>
          <w:marBottom w:val="0"/>
          <w:divBdr>
            <w:top w:val="none" w:sz="0" w:space="0" w:color="auto"/>
            <w:left w:val="none" w:sz="0" w:space="0" w:color="auto"/>
            <w:bottom w:val="none" w:sz="0" w:space="0" w:color="auto"/>
            <w:right w:val="none" w:sz="0" w:space="0" w:color="auto"/>
          </w:divBdr>
        </w:div>
      </w:divsChild>
    </w:div>
    <w:div w:id="450630136">
      <w:bodyDiv w:val="1"/>
      <w:marLeft w:val="0"/>
      <w:marRight w:val="0"/>
      <w:marTop w:val="0"/>
      <w:marBottom w:val="0"/>
      <w:divBdr>
        <w:top w:val="none" w:sz="0" w:space="0" w:color="auto"/>
        <w:left w:val="none" w:sz="0" w:space="0" w:color="auto"/>
        <w:bottom w:val="none" w:sz="0" w:space="0" w:color="auto"/>
        <w:right w:val="none" w:sz="0" w:space="0" w:color="auto"/>
      </w:divBdr>
    </w:div>
    <w:div w:id="471219007">
      <w:bodyDiv w:val="1"/>
      <w:marLeft w:val="0"/>
      <w:marRight w:val="0"/>
      <w:marTop w:val="0"/>
      <w:marBottom w:val="0"/>
      <w:divBdr>
        <w:top w:val="none" w:sz="0" w:space="0" w:color="auto"/>
        <w:left w:val="none" w:sz="0" w:space="0" w:color="auto"/>
        <w:bottom w:val="none" w:sz="0" w:space="0" w:color="auto"/>
        <w:right w:val="none" w:sz="0" w:space="0" w:color="auto"/>
      </w:divBdr>
      <w:divsChild>
        <w:div w:id="861161823">
          <w:marLeft w:val="0"/>
          <w:marRight w:val="0"/>
          <w:marTop w:val="0"/>
          <w:marBottom w:val="0"/>
          <w:divBdr>
            <w:top w:val="none" w:sz="0" w:space="0" w:color="auto"/>
            <w:left w:val="none" w:sz="0" w:space="0" w:color="auto"/>
            <w:bottom w:val="none" w:sz="0" w:space="0" w:color="auto"/>
            <w:right w:val="none" w:sz="0" w:space="0" w:color="auto"/>
          </w:divBdr>
        </w:div>
        <w:div w:id="1349410238">
          <w:marLeft w:val="0"/>
          <w:marRight w:val="0"/>
          <w:marTop w:val="0"/>
          <w:marBottom w:val="0"/>
          <w:divBdr>
            <w:top w:val="none" w:sz="0" w:space="0" w:color="auto"/>
            <w:left w:val="none" w:sz="0" w:space="0" w:color="auto"/>
            <w:bottom w:val="none" w:sz="0" w:space="0" w:color="auto"/>
            <w:right w:val="none" w:sz="0" w:space="0" w:color="auto"/>
          </w:divBdr>
        </w:div>
        <w:div w:id="1701053578">
          <w:marLeft w:val="0"/>
          <w:marRight w:val="0"/>
          <w:marTop w:val="0"/>
          <w:marBottom w:val="0"/>
          <w:divBdr>
            <w:top w:val="none" w:sz="0" w:space="0" w:color="auto"/>
            <w:left w:val="none" w:sz="0" w:space="0" w:color="auto"/>
            <w:bottom w:val="none" w:sz="0" w:space="0" w:color="auto"/>
            <w:right w:val="none" w:sz="0" w:space="0" w:color="auto"/>
          </w:divBdr>
        </w:div>
      </w:divsChild>
    </w:div>
    <w:div w:id="664473623">
      <w:bodyDiv w:val="1"/>
      <w:marLeft w:val="0"/>
      <w:marRight w:val="0"/>
      <w:marTop w:val="0"/>
      <w:marBottom w:val="0"/>
      <w:divBdr>
        <w:top w:val="none" w:sz="0" w:space="0" w:color="auto"/>
        <w:left w:val="none" w:sz="0" w:space="0" w:color="auto"/>
        <w:bottom w:val="none" w:sz="0" w:space="0" w:color="auto"/>
        <w:right w:val="none" w:sz="0" w:space="0" w:color="auto"/>
      </w:divBdr>
    </w:div>
    <w:div w:id="688600016">
      <w:bodyDiv w:val="1"/>
      <w:marLeft w:val="0"/>
      <w:marRight w:val="0"/>
      <w:marTop w:val="0"/>
      <w:marBottom w:val="0"/>
      <w:divBdr>
        <w:top w:val="none" w:sz="0" w:space="0" w:color="auto"/>
        <w:left w:val="none" w:sz="0" w:space="0" w:color="auto"/>
        <w:bottom w:val="none" w:sz="0" w:space="0" w:color="auto"/>
        <w:right w:val="none" w:sz="0" w:space="0" w:color="auto"/>
      </w:divBdr>
    </w:div>
    <w:div w:id="700325995">
      <w:bodyDiv w:val="1"/>
      <w:marLeft w:val="0"/>
      <w:marRight w:val="0"/>
      <w:marTop w:val="0"/>
      <w:marBottom w:val="0"/>
      <w:divBdr>
        <w:top w:val="none" w:sz="0" w:space="0" w:color="auto"/>
        <w:left w:val="none" w:sz="0" w:space="0" w:color="auto"/>
        <w:bottom w:val="none" w:sz="0" w:space="0" w:color="auto"/>
        <w:right w:val="none" w:sz="0" w:space="0" w:color="auto"/>
      </w:divBdr>
      <w:divsChild>
        <w:div w:id="2141413490">
          <w:marLeft w:val="640"/>
          <w:marRight w:val="0"/>
          <w:marTop w:val="0"/>
          <w:marBottom w:val="0"/>
          <w:divBdr>
            <w:top w:val="none" w:sz="0" w:space="0" w:color="auto"/>
            <w:left w:val="none" w:sz="0" w:space="0" w:color="auto"/>
            <w:bottom w:val="none" w:sz="0" w:space="0" w:color="auto"/>
            <w:right w:val="none" w:sz="0" w:space="0" w:color="auto"/>
          </w:divBdr>
        </w:div>
      </w:divsChild>
    </w:div>
    <w:div w:id="888567460">
      <w:bodyDiv w:val="1"/>
      <w:marLeft w:val="0"/>
      <w:marRight w:val="0"/>
      <w:marTop w:val="0"/>
      <w:marBottom w:val="0"/>
      <w:divBdr>
        <w:top w:val="none" w:sz="0" w:space="0" w:color="auto"/>
        <w:left w:val="none" w:sz="0" w:space="0" w:color="auto"/>
        <w:bottom w:val="none" w:sz="0" w:space="0" w:color="auto"/>
        <w:right w:val="none" w:sz="0" w:space="0" w:color="auto"/>
      </w:divBdr>
    </w:div>
    <w:div w:id="978611694">
      <w:bodyDiv w:val="1"/>
      <w:marLeft w:val="0"/>
      <w:marRight w:val="0"/>
      <w:marTop w:val="0"/>
      <w:marBottom w:val="0"/>
      <w:divBdr>
        <w:top w:val="none" w:sz="0" w:space="0" w:color="auto"/>
        <w:left w:val="none" w:sz="0" w:space="0" w:color="auto"/>
        <w:bottom w:val="none" w:sz="0" w:space="0" w:color="auto"/>
        <w:right w:val="none" w:sz="0" w:space="0" w:color="auto"/>
      </w:divBdr>
      <w:divsChild>
        <w:div w:id="1590962787">
          <w:marLeft w:val="640"/>
          <w:marRight w:val="0"/>
          <w:marTop w:val="0"/>
          <w:marBottom w:val="0"/>
          <w:divBdr>
            <w:top w:val="none" w:sz="0" w:space="0" w:color="auto"/>
            <w:left w:val="none" w:sz="0" w:space="0" w:color="auto"/>
            <w:bottom w:val="none" w:sz="0" w:space="0" w:color="auto"/>
            <w:right w:val="none" w:sz="0" w:space="0" w:color="auto"/>
          </w:divBdr>
        </w:div>
      </w:divsChild>
    </w:div>
    <w:div w:id="1469128030">
      <w:bodyDiv w:val="1"/>
      <w:marLeft w:val="0"/>
      <w:marRight w:val="0"/>
      <w:marTop w:val="0"/>
      <w:marBottom w:val="0"/>
      <w:divBdr>
        <w:top w:val="none" w:sz="0" w:space="0" w:color="auto"/>
        <w:left w:val="none" w:sz="0" w:space="0" w:color="auto"/>
        <w:bottom w:val="none" w:sz="0" w:space="0" w:color="auto"/>
        <w:right w:val="none" w:sz="0" w:space="0" w:color="auto"/>
      </w:divBdr>
    </w:div>
    <w:div w:id="1734230987">
      <w:bodyDiv w:val="1"/>
      <w:marLeft w:val="0"/>
      <w:marRight w:val="0"/>
      <w:marTop w:val="0"/>
      <w:marBottom w:val="0"/>
      <w:divBdr>
        <w:top w:val="none" w:sz="0" w:space="0" w:color="auto"/>
        <w:left w:val="none" w:sz="0" w:space="0" w:color="auto"/>
        <w:bottom w:val="none" w:sz="0" w:space="0" w:color="auto"/>
        <w:right w:val="none" w:sz="0" w:space="0" w:color="auto"/>
      </w:divBdr>
      <w:divsChild>
        <w:div w:id="467163908">
          <w:marLeft w:val="640"/>
          <w:marRight w:val="0"/>
          <w:marTop w:val="0"/>
          <w:marBottom w:val="0"/>
          <w:divBdr>
            <w:top w:val="none" w:sz="0" w:space="0" w:color="auto"/>
            <w:left w:val="none" w:sz="0" w:space="0" w:color="auto"/>
            <w:bottom w:val="none" w:sz="0" w:space="0" w:color="auto"/>
            <w:right w:val="none" w:sz="0" w:space="0" w:color="auto"/>
          </w:divBdr>
        </w:div>
        <w:div w:id="1481922585">
          <w:marLeft w:val="640"/>
          <w:marRight w:val="0"/>
          <w:marTop w:val="0"/>
          <w:marBottom w:val="0"/>
          <w:divBdr>
            <w:top w:val="none" w:sz="0" w:space="0" w:color="auto"/>
            <w:left w:val="none" w:sz="0" w:space="0" w:color="auto"/>
            <w:bottom w:val="none" w:sz="0" w:space="0" w:color="auto"/>
            <w:right w:val="none" w:sz="0" w:space="0" w:color="auto"/>
          </w:divBdr>
        </w:div>
        <w:div w:id="1692148718">
          <w:marLeft w:val="640"/>
          <w:marRight w:val="0"/>
          <w:marTop w:val="0"/>
          <w:marBottom w:val="0"/>
          <w:divBdr>
            <w:top w:val="none" w:sz="0" w:space="0" w:color="auto"/>
            <w:left w:val="none" w:sz="0" w:space="0" w:color="auto"/>
            <w:bottom w:val="none" w:sz="0" w:space="0" w:color="auto"/>
            <w:right w:val="none" w:sz="0" w:space="0" w:color="auto"/>
          </w:divBdr>
        </w:div>
      </w:divsChild>
    </w:div>
    <w:div w:id="1833570483">
      <w:bodyDiv w:val="1"/>
      <w:marLeft w:val="0"/>
      <w:marRight w:val="0"/>
      <w:marTop w:val="0"/>
      <w:marBottom w:val="0"/>
      <w:divBdr>
        <w:top w:val="none" w:sz="0" w:space="0" w:color="auto"/>
        <w:left w:val="none" w:sz="0" w:space="0" w:color="auto"/>
        <w:bottom w:val="none" w:sz="0" w:space="0" w:color="auto"/>
        <w:right w:val="none" w:sz="0" w:space="0" w:color="auto"/>
      </w:divBdr>
      <w:divsChild>
        <w:div w:id="22295067">
          <w:marLeft w:val="640"/>
          <w:marRight w:val="0"/>
          <w:marTop w:val="0"/>
          <w:marBottom w:val="0"/>
          <w:divBdr>
            <w:top w:val="none" w:sz="0" w:space="0" w:color="auto"/>
            <w:left w:val="none" w:sz="0" w:space="0" w:color="auto"/>
            <w:bottom w:val="none" w:sz="0" w:space="0" w:color="auto"/>
            <w:right w:val="none" w:sz="0" w:space="0" w:color="auto"/>
          </w:divBdr>
        </w:div>
        <w:div w:id="1300182389">
          <w:marLeft w:val="640"/>
          <w:marRight w:val="0"/>
          <w:marTop w:val="0"/>
          <w:marBottom w:val="0"/>
          <w:divBdr>
            <w:top w:val="none" w:sz="0" w:space="0" w:color="auto"/>
            <w:left w:val="none" w:sz="0" w:space="0" w:color="auto"/>
            <w:bottom w:val="none" w:sz="0" w:space="0" w:color="auto"/>
            <w:right w:val="none" w:sz="0" w:space="0" w:color="auto"/>
          </w:divBdr>
        </w:div>
      </w:divsChild>
    </w:div>
    <w:div w:id="1866669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E37B252-8677-EB4D-AF3B-9A9796BD6BE3}">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0bb0480e-8073-409f-a62a-5c8376c1f1e5&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&quot;,&quot;citationItems&quot;:[{&quot;id&quot;:&quot;66b40527-a884-3400-ba11-e1b73830d97a&quot;,&quot;itemData&quot;:{&quot;type&quot;:&quot;article-journal&quot;,&quot;id&quot;:&quot;66b40527-a884-3400-ba11-e1b73830d97a&quot;,&quot;title&quot;:&quot;NMR Reveals Specific Tracts within the Intrinsically Disordered Regions of the SARS-CoV-2 Nucleocapsid Protein Involved in RNA Encountering&quot;,&quot;author&quot;:[{&quot;family&quot;:&quot;Pontoriero&quot;,&quot;given&quot;:&quot;Letizia&quot;,&quot;parse-names&quot;:false,&quot;dropping-particle&quot;:&quot;&quot;,&quot;non-dropping-particle&quot;:&quot;&quot;},{&quot;family&quot;:&quot;Schiavina&quot;,&quot;given&quot;:&quot;Marco&quot;,&quot;parse-names&quot;:false,&quot;dropping-particle&quot;:&quot;&quot;,&quot;non-dropping-particle&quot;:&quot;&quot;},{&quot;family&quot;:&quot;Korn&quot;,&quot;given&quot;:&quot;Sophie M.&quot;,&quot;parse-names&quot;:false,&quot;dropping-particle&quot;:&quot;&quot;,&quot;non-dropping-particle&quot;:&quot;&quot;},{&quot;family&quot;:&quot;Schlundt&quot;,&quot;given&quot;:&quot;Andreas&quot;,&quot;parse-names&quot;:false,&quot;dropping-particle&quot;:&quot;&quot;,&quot;non-dropping-particle&quot;:&quot;&quot;},{&quot;family&quot;:&quot;Pierattelli&quot;,&quot;given&quot;:&quot;Roberta&quot;,&quot;parse-names&quot;:false,&quot;dropping-particle&quot;:&quot;&quot;,&quot;non-dropping-particle&quot;:&quot;&quot;},{&quot;family&quot;:&quot;Felli&quot;,&quot;given&quot;:&quot;Isabella C.&quot;,&quot;parse-names&quot;:false,&quot;dropping-particle&quot;:&quot;&quot;,&quot;non-dropping-particle&quot;:&quot;&quot;}],&quot;container-title&quot;:&quot;Biomolecules&quot;,&quot;container-title-short&quot;:&quot;Biomolecules&quot;,&quot;DOI&quot;:&quot;10.3390/biom12070929&quot;,&quot;ISSN&quot;:&quot;2218-273X&quot;,&quot;PMID&quot;:&quot;35883485&quot;,&quot;URL&quot;:&quot;https://www.mdpi.com/2218-273X/12/7/929&quot;,&quot;issued&quot;:{&quot;date-parts&quot;:[[2022,7,2]]},&quot;page&quot;:&quot;929&quot;,&quot;abstract&quot;:&quot;&lt;p&gt;The SARS-CoV-2 nucleocapsid (N) protein is crucial for the highly organized packaging and transcription of the genomic RNA. Studying atomic details of the role of its intrinsically disordered regions (IDRs) in RNA recognition is challenging due to the absence of structure and to the repetitive nature of their primary sequence. IDRs are known to act in concert with the folded domains of N and here we use NMR spectroscopy to identify the priming events of N interacting with a regulatory SARS-CoV-2 RNA element. 13C-detected NMR experiments, acquired simultaneously to 1H detected ones, provide information on the two IDRs flanking the N-terminal RNA binding domain (NTD) within the N-terminal region of the protein (NTR, 1–248). We identify specific tracts of the IDRs that most rapidly sense and engage with RNA, and thus provide an atom-resolved picture of the interplay between the folded and disordered regions of N during RNA interaction.&lt;/p&gt;&quot;,&quot;volume&quot;:&quot;12&quot;},&quot;isTemporary&quot;:false}]},{&quot;citationID&quot;:&quot;MENDELEY_CITATION_3e9179b5-afcc-4e8b-af7d-c94bd197ed04&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&quot;,&quot;citationItems&quot;:[{&quot;id&quot;:&quot;e425caae-ab09-3707-b889-675e73a6491a&quot;,&quot;itemData&quot;:{&quot;type&quot;:&quot;article-journal&quot;,&quot;id&quot;:&quot;e425caae-ab09-3707-b889-675e73a6491a&quot;,&quot;title&quot;:&quot;The Role of Disordered Regions in Orchestrating the Properties of Multidomain Proteins: The SARS-CoV-2 Nucleocapsid Protein and Its Interaction with Enoxaparin&quot;,&quot;author&quot;:[{&quot;family&quot;:&quot;Schiavina&quot;,&quot;given&quot;:&quot;Marco&quot;,&quot;parse-names&quot;:false,&quot;dropping-particle&quot;:&quot;&quot;,&quot;non-dropping-particle&quot;:&quot;&quot;},{&quot;family&quot;:&quot;Pontoriero&quot;,&quot;given&quot;:&quot;Letizia&quot;,&quot;parse-names&quot;:false,&quot;dropping-particle&quot;:&quot;&quot;,&quot;non-dropping-particle&quot;:&quot;&quot;},{&quot;family&quot;:&quot;Tagliaferro&quot;,&quot;given&quot;:&quot;Giuseppe&quot;,&quot;parse-names&quot;:false,&quot;dropping-particle&quot;:&quot;&quot;,&quot;non-dropping-particle&quot;:&quot;&quot;},{&quot;family&quot;:&quot;Pierattelli&quot;,&quot;given&quot;:&quot;Roberta&quot;,&quot;parse-names&quot;:false,&quot;dropping-particle&quot;:&quot;&quot;,&quot;non-dropping-particle&quot;:&quot;&quot;},{&quot;family&quot;:&quot;Felli&quot;,&quot;given&quot;:&quot;Isabella C.&quot;,&quot;parse-names&quot;:false,&quot;dropping-particle&quot;:&quot;&quot;,&quot;non-dropping-particle&quot;:&quot;&quot;}],&quot;container-title&quot;:&quot;Biomolecules&quot;,&quot;container-title-short&quot;:&quot;Biomolecules&quot;,&quot;DOI&quot;:&quot;10.3390/biom12091302&quot;,&quot;ISSN&quot;:&quot;2218-273X&quot;,&quot;URL&quot;:&quot;https://www.mdpi.com/2218-273X/12/9/1302&quot;,&quot;issued&quot;:{&quot;date-parts&quot;:[[2022,9,15]]},&quot;page&quot;:&quot;1302&quot;,&quot;abstract&quot;:&quot;&lt;p&gt;Novel and efficient strategies need to be developed to interfere with the SARS-CoV-2 virus. One of the most promising pharmaceutical targets is the nucleocapsid protein (N), responsible for genomic RNA packaging. N is composed of two folded domains and three intrinsically disordered regions (IDRs). The globular RNA binding domain (NTD) and the tethered IDRs are rich in positively charged residues. The study of the interaction of N with polyanions can thus help to elucidate one of the key driving forces responsible for its function, i.e., electrostatics. Heparin, one of the most negatively charged natural polyanions, has been used to contrast serious cases of COVID-19 infection, and we decided to study its interaction with N at the molecular level. We focused on the NTR construct, which comprises the NTD and two flanking IDRs, and on the NTD construct in isolation. We characterized this interaction using different nuclear magnetic resonance approaches and isothermal titration calorimetry. With these tools, we were able to identify an extended surface of NTD involved in the interaction. Moreover, we assessed the importance of the IDRs in increasing the affinity for heparin, highlighting how different tracts of these flexible regions modulate the interaction.&lt;/p&gt;&quot;,&quot;volume&quot;:&quot;12&quot;},&quot;isTemporary&quot;:false}]},{&quot;citationID&quot;:&quot;MENDELEY_CITATION_6b431bed-50c8-4956-8c67-358641021944&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&quot;,&quot;citationItems&quot;:[{&quot;id&quot;:&quot;18702674-170d-3964-b209-676e25d3e7a3&quot;,&quot;itemData&quot;:{&quot;type&quot;:&quot;article-journal&quot;,&quot;id&quot;:&quot;18702674-170d-3964-b209-676e25d3e7a3&quot;,&quot;title&quot;:&quot;Taking Simultaneous Snapshots of Intrinsically Disordered Proteins in Action&quot;,&quot;author&quot;:[{&quot;family&quot;:&quot;Schiavina&quot;,&quot;given&quot;:&quot;Marco&quot;,&quot;parse-names&quot;:false,&quot;dropping-particle&quot;:&quot;&quot;,&quot;non-dropping-particle&quot;:&quot;&quot;},{&quot;family&quot;:&quot;Murrali&quot;,&quot;given&quot;:&quot;Maria Grazia&quot;,&quot;parse-names&quot;:false,&quot;dropping-particle&quot;:&quot;&quot;,&quot;non-dropping-particle&quot;:&quot;&quot;},{&quot;family&quot;:&quot;Pontoriero&quot;,&quot;given&quot;:&quot;Letizia&quot;,&quot;parse-names&quot;:false,&quot;dropping-particle&quot;:&quot;&quot;,&quot;non-dropping-particle&quot;:&quot;&quot;},{&quot;family&quot;:&quot;Sainati&quot;,&quot;given&quot;:&quot;Valerio&quot;,&quot;parse-names&quot;:false,&quot;dropping-particle&quot;:&quot;&quot;,&quot;non-dropping-particle&quot;:&quot;&quot;},{&quot;family&quot;:&quot;Kümmerle&quot;,&quot;given&quot;:&quot;Rainer&quot;,&quot;parse-names&quot;:false,&quot;dropping-particle&quot;:&quot;&quot;,&quot;non-dropping-particle&quot;:&quot;&quot;},{&quot;family&quot;:&quot;Bermel&quot;,&quot;given&quot;:&quot;Wolfgang&quot;,&quot;parse-names&quot;:false,&quot;dropping-particle&quot;:&quot;&quot;,&quot;non-dropping-particle&quot;:&quot;&quot;},{&quot;family&quot;:&quot;Pierattelli&quot;,&quot;given&quot;:&quot;Roberta&quot;,&quot;parse-names&quot;:false,&quot;dropping-particle&quot;:&quot;&quot;,&quot;non-dropping-particle&quot;:&quot;&quot;},{&quot;family&quot;:&quot;Felli&quot;,&quot;given&quot;:&quot;Isabella C.&quot;,&quot;parse-names&quot;:false,&quot;dropping-particle&quot;:&quot;&quot;,&quot;non-dropping-particle&quot;:&quot;&quot;}],&quot;container-title&quot;:&quot;Biophysical Journal&quot;,&quot;container-title-short&quot;:&quot;Biophys J&quot;,&quot;DOI&quot;:&quot;10.1016/j.bpj.2019.05.017&quot;,&quot;ISSN&quot;:&quot;00063495&quot;,&quot;URL&quot;:&quot;https://linkinghub.elsevier.com/retrieve/pii/S0006349519304199&quot;,&quot;issued&quot;:{&quot;date-parts&quot;:[[2019,7]]},&quot;page&quot;:&quot;46-55&quot;,&quot;abstract&quot;:&quot;Intrinsically disordered proteins (IDPs) as well as intrinsically disordered regions (IDRs) of complex protein machineries have recently been recognized as key players in many cellular functions. NMR represents a unique tool to access atomic resolution structural and dynamic information on highly flexible IDPs/IDRs. Improvements in instrumental sensitivity made heteronuclear direct detection possible for biomolecular NMR applications. The CON experiment has become one of the most useful NMR experiments to get a snapshot of an IDP/IDR in conditions approaching physiological ones. The availability of NMR spectrometers equipped with multiple receivers now enables the acquisition of several experiments simultaneously instead of one after the other. Here, we propose several variants of the CON experiment in which, during the recovery delay, a second two-dimensional experiment is acquired, either based on 1H detection (CON//HN) or on 15N detection (CON//btNH, CON//(H)CAN). The possibility to collect simultaneous snapshots of an IDP/IDR through different two-dimensional spectra provides a novel tool to follow chemical reactions, such as the occurrence of posttranslational modifications, as well as to study samples of limited lifetime such as cell lysates or whole cells.&quot;,&quot;volume&quot;:&quot;117&quot;},&quot;isTemporary&quot;:false}]}]"/>
    <we:property name="MENDELEY_CITATIONS_LOCALE_CODE" value="&quot;en-US&quot;"/>
    <we:property name="MENDELEY_CITATIONS_STYLE" value="{&quot;id&quot;:&quot;https://www.zotero.org/styles/angewandte-chemie&quot;,&quot;title&quot;:&quot;Angewandte Chemie International Edition&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C0FF6-801D-47F4-B687-8446885DF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511</Words>
  <Characters>2918</Characters>
  <Application>Microsoft Office Word</Application>
  <DocSecurity>0</DocSecurity>
  <Lines>24</Lines>
  <Paragraphs>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3423</CharactersWithSpaces>
  <SharedDoc>false</SharedDoc>
  <HLinks>
    <vt:vector size="6" baseType="variant">
      <vt:variant>
        <vt:i4>786544</vt:i4>
      </vt:variant>
      <vt:variant>
        <vt:i4>0</vt:i4>
      </vt:variant>
      <vt:variant>
        <vt:i4>0</vt:i4>
      </vt:variant>
      <vt:variant>
        <vt:i4>5</vt:i4>
      </vt:variant>
      <vt:variant>
        <vt:lpwstr>mailto:your.address@here.it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dc:creator>
  <cp:keywords/>
  <dc:description/>
  <cp:lastModifiedBy>Tessa Bolognesi</cp:lastModifiedBy>
  <cp:revision>9</cp:revision>
  <cp:lastPrinted>2112-12-31T23:00:00Z</cp:lastPrinted>
  <dcterms:created xsi:type="dcterms:W3CDTF">2025-05-29T00:26:00Z</dcterms:created>
  <dcterms:modified xsi:type="dcterms:W3CDTF">2025-07-08T15:38:00Z</dcterms:modified>
</cp:coreProperties>
</file>