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1811D2" w14:textId="3F45FAB2" w:rsidR="00082B2D" w:rsidRDefault="00BF6065">
      <w:pPr>
        <w:jc w:val="center"/>
        <w:rPr>
          <w:rFonts w:ascii="Times" w:hAnsi="Times" w:cs="Lucidasans"/>
          <w:b/>
          <w:bCs/>
        </w:rPr>
      </w:pPr>
      <w:r w:rsidRPr="00BF6065">
        <w:rPr>
          <w:rFonts w:ascii="Times" w:hAnsi="Times" w:cs="Lucidasans"/>
          <w:b/>
          <w:bCs/>
        </w:rPr>
        <w:t>Solvent PRE as a biomolecular investigation tool</w:t>
      </w:r>
      <w:r>
        <w:rPr>
          <w:rFonts w:ascii="Times" w:hAnsi="Times" w:cs="Lucidasans"/>
          <w:b/>
          <w:bCs/>
        </w:rPr>
        <w:t>: focusing on structurally heterogeneous proteins and IDPs</w:t>
      </w:r>
    </w:p>
    <w:p w14:paraId="547063B4" w14:textId="77777777" w:rsidR="00082B2D" w:rsidRDefault="00082B2D">
      <w:pPr>
        <w:rPr>
          <w:rFonts w:ascii="Times" w:hAnsi="Times" w:cs="Lucidasans"/>
        </w:rPr>
      </w:pPr>
    </w:p>
    <w:p w14:paraId="76ADD5FE" w14:textId="54046A9E" w:rsidR="00082B2D" w:rsidRPr="000F6A9D" w:rsidRDefault="00467F90">
      <w:pPr>
        <w:rPr>
          <w:rFonts w:ascii="Times" w:hAnsi="Times" w:cs="Lucidasans"/>
          <w:vertAlign w:val="superscript"/>
          <w:lang w:val="it-IT"/>
        </w:rPr>
      </w:pPr>
      <w:r w:rsidRPr="000F6A9D">
        <w:rPr>
          <w:rFonts w:ascii="Times" w:hAnsi="Times" w:cs="Lucidasans"/>
          <w:u w:val="single"/>
          <w:lang w:val="it-IT"/>
        </w:rPr>
        <w:t>C. Lippi</w:t>
      </w:r>
      <w:r w:rsidRPr="000F6A9D">
        <w:rPr>
          <w:rFonts w:ascii="Times" w:hAnsi="Times" w:cs="Lucidasans"/>
          <w:lang w:val="it-IT"/>
        </w:rPr>
        <w:t>,</w:t>
      </w:r>
      <w:r w:rsidR="006A34A3" w:rsidRPr="000F6A9D">
        <w:rPr>
          <w:rFonts w:ascii="Times" w:hAnsi="Times" w:cs="Lucidasans"/>
          <w:vertAlign w:val="superscript"/>
          <w:lang w:val="it-IT"/>
        </w:rPr>
        <w:t>a</w:t>
      </w:r>
      <w:r w:rsidRPr="000F6A9D">
        <w:rPr>
          <w:rFonts w:ascii="Times" w:hAnsi="Times" w:cs="Lucidasans"/>
          <w:lang w:val="it-IT"/>
        </w:rPr>
        <w:t xml:space="preserve"> L. Bracaglia,</w:t>
      </w:r>
      <w:r w:rsidR="006A34A3" w:rsidRPr="000F6A9D">
        <w:rPr>
          <w:rFonts w:ascii="Times" w:hAnsi="Times" w:cs="Lucidasans"/>
          <w:vertAlign w:val="superscript"/>
          <w:lang w:val="it-IT"/>
        </w:rPr>
        <w:t>a</w:t>
      </w:r>
      <w:r w:rsidRPr="000F6A9D">
        <w:rPr>
          <w:rFonts w:ascii="Times" w:hAnsi="Times" w:cs="Lucidasans"/>
          <w:lang w:val="it-IT"/>
        </w:rPr>
        <w:t xml:space="preserve"> </w:t>
      </w:r>
      <w:r w:rsidR="000442EB" w:rsidRPr="000442EB">
        <w:rPr>
          <w:rFonts w:ascii="Times" w:hAnsi="Times" w:cs="Lucidasans"/>
          <w:lang w:val="it-IT"/>
        </w:rPr>
        <w:t>F</w:t>
      </w:r>
      <w:r w:rsidR="000442EB">
        <w:rPr>
          <w:rFonts w:ascii="Times" w:hAnsi="Times" w:cs="Lucidasans"/>
          <w:lang w:val="it-IT"/>
        </w:rPr>
        <w:t>.</w:t>
      </w:r>
      <w:r w:rsidR="000442EB" w:rsidRPr="000442EB">
        <w:rPr>
          <w:rFonts w:ascii="Times" w:hAnsi="Times" w:cs="Lucidasans"/>
          <w:lang w:val="it-IT"/>
        </w:rPr>
        <w:t xml:space="preserve"> Carniato</w:t>
      </w:r>
      <w:r w:rsidR="000442EB" w:rsidRPr="007475FE">
        <w:rPr>
          <w:rFonts w:ascii="Times" w:hAnsi="Times" w:cs="Lucidasans"/>
          <w:vertAlign w:val="superscript"/>
          <w:lang w:val="it-IT"/>
        </w:rPr>
        <w:t>b</w:t>
      </w:r>
      <w:r w:rsidR="000442EB">
        <w:rPr>
          <w:rFonts w:ascii="Times" w:hAnsi="Times" w:cs="Lucidasans"/>
          <w:lang w:val="it-IT"/>
        </w:rPr>
        <w:t xml:space="preserve">, </w:t>
      </w:r>
      <w:r w:rsidR="007475FE">
        <w:rPr>
          <w:rFonts w:ascii="Times" w:hAnsi="Times" w:cs="Lucidasans"/>
          <w:lang w:val="it-IT"/>
        </w:rPr>
        <w:t>M. Botta</w:t>
      </w:r>
      <w:r w:rsidR="007475FE" w:rsidRPr="007475FE">
        <w:rPr>
          <w:rFonts w:ascii="Times" w:hAnsi="Times" w:cs="Lucidasans"/>
          <w:vertAlign w:val="superscript"/>
          <w:lang w:val="it-IT"/>
        </w:rPr>
        <w:t>b</w:t>
      </w:r>
      <w:r w:rsidR="007475FE">
        <w:rPr>
          <w:rFonts w:ascii="Times" w:hAnsi="Times" w:cs="Lucidasans"/>
          <w:lang w:val="it-IT"/>
        </w:rPr>
        <w:t xml:space="preserve">, </w:t>
      </w:r>
      <w:r w:rsidRPr="000F6A9D">
        <w:rPr>
          <w:rFonts w:ascii="Times" w:hAnsi="Times" w:cs="Lucidasans"/>
          <w:lang w:val="it-IT"/>
        </w:rPr>
        <w:t>R. Pierattelli</w:t>
      </w:r>
      <w:r w:rsidR="007475FE" w:rsidRPr="000F6A9D">
        <w:rPr>
          <w:rFonts w:ascii="Times" w:hAnsi="Times" w:cs="Lucidasans"/>
          <w:vertAlign w:val="superscript"/>
          <w:lang w:val="it-IT"/>
        </w:rPr>
        <w:t>a</w:t>
      </w:r>
      <w:r w:rsidRPr="000F6A9D">
        <w:rPr>
          <w:rFonts w:ascii="Times" w:hAnsi="Times" w:cs="Lucidasans"/>
          <w:lang w:val="it-IT"/>
        </w:rPr>
        <w:t>, I.C. Felli</w:t>
      </w:r>
      <w:r w:rsidR="006A34A3" w:rsidRPr="000F6A9D">
        <w:rPr>
          <w:rFonts w:ascii="Times" w:hAnsi="Times" w:cs="Lucidasans"/>
          <w:vertAlign w:val="superscript"/>
          <w:lang w:val="it-IT"/>
        </w:rPr>
        <w:t>a</w:t>
      </w:r>
    </w:p>
    <w:p w14:paraId="05F756CE" w14:textId="77777777" w:rsidR="00082B2D" w:rsidRPr="00BF6065" w:rsidRDefault="00082B2D">
      <w:pPr>
        <w:rPr>
          <w:rFonts w:ascii="Times" w:eastAsia="Times" w:hAnsi="Times" w:cs="Times"/>
          <w:lang w:val="it-IT"/>
        </w:rPr>
      </w:pPr>
    </w:p>
    <w:p w14:paraId="72F08666" w14:textId="766FA78C" w:rsidR="00467F90" w:rsidRPr="005F67B1" w:rsidRDefault="00467F90" w:rsidP="00467F90">
      <w:pPr>
        <w:rPr>
          <w:rFonts w:ascii="Times" w:eastAsia="Times" w:hAnsi="Times" w:cs="Times"/>
          <w:lang w:val="en-GB"/>
        </w:rPr>
      </w:pPr>
      <w:r w:rsidRPr="00467F90">
        <w:rPr>
          <w:rFonts w:ascii="Times" w:eastAsia="Times" w:hAnsi="Times" w:cs="Times"/>
          <w:vertAlign w:val="superscript"/>
        </w:rPr>
        <w:t>a</w:t>
      </w:r>
      <w:r w:rsidR="007475FE">
        <w:rPr>
          <w:rFonts w:ascii="Times" w:eastAsia="Times" w:hAnsi="Times" w:cs="Times"/>
          <w:vertAlign w:val="superscript"/>
        </w:rPr>
        <w:t xml:space="preserve"> </w:t>
      </w:r>
      <w:r w:rsidRPr="00467F90">
        <w:rPr>
          <w:rFonts w:ascii="Times" w:eastAsia="Times" w:hAnsi="Times" w:cs="Times"/>
        </w:rPr>
        <w:t xml:space="preserve">Department of Chemistry </w:t>
      </w:r>
      <w:r w:rsidRPr="00467F90">
        <w:rPr>
          <w:rFonts w:ascii="Times" w:eastAsia="Times" w:hAnsi="Times" w:cs="Times" w:hint="cs"/>
        </w:rPr>
        <w:t>“</w:t>
      </w:r>
      <w:r w:rsidRPr="00467F90">
        <w:rPr>
          <w:rFonts w:ascii="Times" w:eastAsia="Times" w:hAnsi="Times" w:cs="Times"/>
        </w:rPr>
        <w:t>Ugo Schiff</w:t>
      </w:r>
      <w:r w:rsidRPr="00467F90">
        <w:rPr>
          <w:rFonts w:ascii="Times" w:eastAsia="Times" w:hAnsi="Times" w:cs="Times" w:hint="cs"/>
        </w:rPr>
        <w:t>”</w:t>
      </w:r>
      <w:r w:rsidR="000F6A9D">
        <w:rPr>
          <w:rFonts w:ascii="Times" w:eastAsia="Times" w:hAnsi="Times" w:cs="Times"/>
        </w:rPr>
        <w:t xml:space="preserve"> and Magnetic Resonance Center (CERM)</w:t>
      </w:r>
      <w:r w:rsidRPr="00467F90">
        <w:rPr>
          <w:rFonts w:ascii="Times" w:eastAsia="Times" w:hAnsi="Times" w:cs="Times"/>
        </w:rPr>
        <w:t xml:space="preserve">, University of Florence, </w:t>
      </w:r>
      <w:r w:rsidRPr="005F67B1">
        <w:rPr>
          <w:rFonts w:ascii="Times" w:eastAsia="Times" w:hAnsi="Times" w:cs="Times"/>
          <w:lang w:val="en-GB"/>
        </w:rPr>
        <w:t>Via L. Sacconi 6, 50019 Sesto F.no</w:t>
      </w:r>
      <w:r w:rsidR="000F6A9D" w:rsidRPr="005F67B1">
        <w:rPr>
          <w:rFonts w:ascii="Times" w:eastAsia="Times" w:hAnsi="Times" w:cs="Times"/>
          <w:lang w:val="en-GB"/>
        </w:rPr>
        <w:t>, Italy</w:t>
      </w:r>
    </w:p>
    <w:p w14:paraId="110C59A4" w14:textId="40CB3A26" w:rsidR="000F6A9D" w:rsidRPr="005F67B1" w:rsidRDefault="007475FE" w:rsidP="006764C7">
      <w:pPr>
        <w:rPr>
          <w:rFonts w:ascii="Times" w:eastAsia="Times" w:hAnsi="Times" w:cs="Times"/>
          <w:lang w:val="en-GB"/>
        </w:rPr>
      </w:pPr>
      <w:r w:rsidRPr="005F67B1">
        <w:rPr>
          <w:rFonts w:ascii="Times" w:eastAsia="Times" w:hAnsi="Times" w:cs="Times"/>
          <w:vertAlign w:val="superscript"/>
          <w:lang w:val="en-GB"/>
        </w:rPr>
        <w:t>b</w:t>
      </w:r>
      <w:r w:rsidRPr="005F67B1">
        <w:rPr>
          <w:rFonts w:ascii="Times" w:eastAsia="Times" w:hAnsi="Times" w:cs="Times"/>
          <w:lang w:val="en-GB"/>
        </w:rPr>
        <w:t xml:space="preserve"> </w:t>
      </w:r>
      <w:r w:rsidR="006764C7" w:rsidRPr="005F67B1">
        <w:rPr>
          <w:rFonts w:ascii="Times" w:eastAsia="Times" w:hAnsi="Times" w:cs="Times"/>
          <w:lang w:val="en-GB"/>
        </w:rPr>
        <w:t>Department of Science and Technological Innovation, University of Piemonte Orientale, Alessandria, Italy</w:t>
      </w:r>
    </w:p>
    <w:p w14:paraId="5EBBCD92" w14:textId="77777777" w:rsidR="006764C7" w:rsidRPr="005F67B1" w:rsidRDefault="006764C7" w:rsidP="006764C7">
      <w:pPr>
        <w:rPr>
          <w:rFonts w:ascii="Times" w:eastAsia="Times" w:hAnsi="Times" w:cs="Times"/>
          <w:lang w:val="en-GB"/>
        </w:rPr>
      </w:pPr>
    </w:p>
    <w:p w14:paraId="5C5EA4D6" w14:textId="708E71E5" w:rsidR="00082B2D" w:rsidRPr="004E0C60" w:rsidRDefault="00082B2D">
      <w:pPr>
        <w:rPr>
          <w:rFonts w:ascii="Times" w:hAnsi="Times" w:cs="Lucidasans"/>
          <w:lang w:val="it-IT"/>
        </w:rPr>
      </w:pPr>
      <w:r w:rsidRPr="004E0C60">
        <w:rPr>
          <w:rFonts w:ascii="Times" w:eastAsia="Times" w:hAnsi="Times" w:cs="Times"/>
          <w:lang w:val="it-IT"/>
        </w:rPr>
        <w:t xml:space="preserve">E-mail: </w:t>
      </w:r>
      <w:hyperlink r:id="rId5" w:history="1">
        <w:r w:rsidR="00D064F9">
          <w:rPr>
            <w:rStyle w:val="Hyperlink"/>
            <w:rFonts w:ascii="Times" w:hAnsi="Times"/>
            <w:lang w:val="it-IT"/>
          </w:rPr>
          <w:t>caterina.lippi@unifi.it</w:t>
        </w:r>
      </w:hyperlink>
    </w:p>
    <w:p w14:paraId="35E699E2" w14:textId="77777777" w:rsidR="00AE34DD" w:rsidRPr="004E0C60" w:rsidRDefault="00AE34DD">
      <w:pPr>
        <w:rPr>
          <w:rFonts w:ascii="Times" w:hAnsi="Times" w:cs="Lucidasans"/>
          <w:sz w:val="20"/>
          <w:szCs w:val="20"/>
          <w:lang w:val="it-IT"/>
        </w:rPr>
      </w:pPr>
    </w:p>
    <w:p w14:paraId="1FB5E97D" w14:textId="716E2FDA" w:rsidR="009F7D9D" w:rsidRDefault="009F7D9D" w:rsidP="00AE34DD">
      <w:pPr>
        <w:jc w:val="both"/>
        <w:rPr>
          <w:rFonts w:ascii="Times" w:hAnsi="Times" w:cs="Lucidasans"/>
          <w:bCs/>
        </w:rPr>
      </w:pPr>
      <w:r w:rsidRPr="000778B2">
        <w:rPr>
          <w:rFonts w:ascii="Times" w:hAnsi="Times" w:cs="Lucidasans"/>
          <w:b/>
          <w:bCs/>
          <w:u w:val="single"/>
        </w:rPr>
        <w:t>Keywords:</w:t>
      </w:r>
      <w:r w:rsidRPr="000778B2">
        <w:rPr>
          <w:rFonts w:ascii="Times" w:hAnsi="Times" w:cs="Lucidasans"/>
          <w:bCs/>
        </w:rPr>
        <w:t xml:space="preserve"> so</w:t>
      </w:r>
      <w:r w:rsidR="00BD6818">
        <w:rPr>
          <w:rFonts w:ascii="Times" w:hAnsi="Times" w:cs="Lucidasans"/>
          <w:bCs/>
        </w:rPr>
        <w:t xml:space="preserve">lution NMR, </w:t>
      </w:r>
      <w:r w:rsidRPr="000778B2">
        <w:rPr>
          <w:rFonts w:ascii="Times" w:hAnsi="Times" w:cs="Lucidasans"/>
          <w:bCs/>
        </w:rPr>
        <w:t>biomolecules, contrast agents, theory and methods.</w:t>
      </w:r>
      <w:r>
        <w:rPr>
          <w:rFonts w:ascii="Times" w:hAnsi="Times" w:cs="Lucidasans"/>
          <w:bCs/>
        </w:rPr>
        <w:t xml:space="preserve"> </w:t>
      </w:r>
    </w:p>
    <w:p w14:paraId="20CB18AF" w14:textId="77777777" w:rsidR="00AE34DD" w:rsidRPr="00AE34DD" w:rsidRDefault="009F7D9D" w:rsidP="00AE34DD">
      <w:pPr>
        <w:jc w:val="both"/>
        <w:rPr>
          <w:rFonts w:ascii="Times" w:hAnsi="Times" w:cs="Lucidasans"/>
          <w:bCs/>
        </w:rPr>
      </w:pPr>
      <w:r>
        <w:rPr>
          <w:rFonts w:ascii="Times" w:hAnsi="Times" w:cs="Lucidasans"/>
          <w:bCs/>
        </w:rPr>
        <w:t xml:space="preserve"> </w:t>
      </w:r>
      <w:r w:rsidR="00FA6C08">
        <w:rPr>
          <w:rFonts w:ascii="Times" w:hAnsi="Times" w:cs="Lucidasans"/>
          <w:bCs/>
        </w:rPr>
        <w:t xml:space="preserve"> </w:t>
      </w:r>
    </w:p>
    <w:p w14:paraId="59ED3A1B" w14:textId="701A8DF2" w:rsidR="00082B2D" w:rsidRDefault="00907D8C" w:rsidP="00DD731F">
      <w:pPr>
        <w:jc w:val="both"/>
        <w:rPr>
          <w:rFonts w:ascii="Times" w:eastAsia="Times" w:hAnsi="Times" w:cs="Times"/>
        </w:rPr>
      </w:pPr>
      <w:r w:rsidRPr="00907D8C">
        <w:rPr>
          <w:rFonts w:ascii="Times" w:eastAsia="Times" w:hAnsi="Times" w:cs="Times"/>
        </w:rPr>
        <w:t>NMR-based solvent paramagnetic relaxation enhancement (sPRE) has become a widely used tool for the study of biomolecules. Its appeal lies in the simplicity of its preparation: a soluble paramagnetic probe is added directly to the sample solution, inducing a concentration-dependent increase in relaxation rates that depends on the properties of the probe, the biomolecule, and the distance of the probe from the biomolecular surface. By measuring the relaxation rates of different nuclei</w:t>
      </w:r>
      <w:r w:rsidR="008E581A">
        <w:rPr>
          <w:rFonts w:ascii="Times" w:eastAsia="Times" w:hAnsi="Times" w:cs="Times"/>
        </w:rPr>
        <w:t xml:space="preserve"> </w:t>
      </w:r>
      <w:r w:rsidRPr="00907D8C">
        <w:rPr>
          <w:rFonts w:ascii="Times" w:eastAsia="Times" w:hAnsi="Times" w:cs="Times"/>
        </w:rPr>
        <w:t>at increasing concentrations of the paramagnetic agent, sPREs can be quantified along the protein sequence to map different conformations</w:t>
      </w:r>
      <w:r w:rsidR="00B672F6">
        <w:rPr>
          <w:rFonts w:ascii="Times" w:eastAsia="Times" w:hAnsi="Times" w:cs="Times"/>
        </w:rPr>
        <w:t xml:space="preserve">, </w:t>
      </w:r>
      <w:r w:rsidRPr="00907D8C">
        <w:rPr>
          <w:rFonts w:ascii="Times" w:eastAsia="Times" w:hAnsi="Times" w:cs="Times"/>
        </w:rPr>
        <w:t>probe solvent accessibility and weak interactions</w:t>
      </w:r>
      <w:r w:rsidR="00473A0D">
        <w:rPr>
          <w:rFonts w:ascii="Times" w:eastAsia="Times" w:hAnsi="Times" w:cs="Times"/>
        </w:rPr>
        <w:t xml:space="preserve"> [1]</w:t>
      </w:r>
      <w:r w:rsidRPr="00907D8C">
        <w:rPr>
          <w:rFonts w:ascii="Times" w:eastAsia="Times" w:hAnsi="Times" w:cs="Times"/>
        </w:rPr>
        <w:t>.</w:t>
      </w:r>
      <w:r w:rsidR="006417BE">
        <w:rPr>
          <w:rFonts w:ascii="Times" w:eastAsia="Times" w:hAnsi="Times" w:cs="Times"/>
        </w:rPr>
        <w:t xml:space="preserve"> </w:t>
      </w:r>
      <w:r w:rsidR="00584C4A">
        <w:rPr>
          <w:rFonts w:ascii="Times" w:eastAsia="Times" w:hAnsi="Times" w:cs="Times"/>
        </w:rPr>
        <w:t xml:space="preserve">Such information is crucial to study how medically relevant proteins carry out their biological function. </w:t>
      </w:r>
      <w:r w:rsidR="005624E4">
        <w:rPr>
          <w:rFonts w:ascii="Times" w:eastAsia="Times" w:hAnsi="Times" w:cs="Times"/>
        </w:rPr>
        <w:t xml:space="preserve">In this context, </w:t>
      </w:r>
      <w:r w:rsidR="006417BE">
        <w:rPr>
          <w:rFonts w:ascii="Times" w:eastAsia="Times" w:hAnsi="Times" w:cs="Times"/>
        </w:rPr>
        <w:t xml:space="preserve">we aim to </w:t>
      </w:r>
      <w:r w:rsidR="006417BE" w:rsidRPr="006417BE">
        <w:rPr>
          <w:rFonts w:ascii="Times" w:eastAsia="Times" w:hAnsi="Times" w:cs="Times"/>
        </w:rPr>
        <w:t xml:space="preserve">assess the applicability of this approach to develop a solid methodology </w:t>
      </w:r>
      <w:r w:rsidR="006F6962">
        <w:rPr>
          <w:rFonts w:ascii="Times" w:eastAsia="Times" w:hAnsi="Times" w:cs="Times"/>
        </w:rPr>
        <w:t>for</w:t>
      </w:r>
      <w:r w:rsidR="006F6962" w:rsidRPr="006417BE">
        <w:rPr>
          <w:rFonts w:ascii="Times" w:eastAsia="Times" w:hAnsi="Times" w:cs="Times"/>
        </w:rPr>
        <w:t xml:space="preserve"> the </w:t>
      </w:r>
      <w:r w:rsidR="006F6962">
        <w:rPr>
          <w:rFonts w:ascii="Times" w:eastAsia="Times" w:hAnsi="Times" w:cs="Times"/>
        </w:rPr>
        <w:t>char</w:t>
      </w:r>
      <w:r w:rsidR="00BF5138">
        <w:rPr>
          <w:rFonts w:ascii="Times" w:eastAsia="Times" w:hAnsi="Times" w:cs="Times"/>
        </w:rPr>
        <w:t>a</w:t>
      </w:r>
      <w:r w:rsidR="006F6962">
        <w:rPr>
          <w:rFonts w:ascii="Times" w:eastAsia="Times" w:hAnsi="Times" w:cs="Times"/>
        </w:rPr>
        <w:t>cterization</w:t>
      </w:r>
      <w:r w:rsidR="006F6962" w:rsidRPr="006417BE">
        <w:rPr>
          <w:rFonts w:ascii="Times" w:eastAsia="Times" w:hAnsi="Times" w:cs="Times"/>
        </w:rPr>
        <w:t xml:space="preserve"> of structurally heterogeneous proteins</w:t>
      </w:r>
      <w:r w:rsidR="006F6962">
        <w:rPr>
          <w:rFonts w:ascii="Times" w:eastAsia="Times" w:hAnsi="Times" w:cs="Times"/>
        </w:rPr>
        <w:t xml:space="preserve">. </w:t>
      </w:r>
      <w:r w:rsidR="006A5CDD">
        <w:rPr>
          <w:rFonts w:ascii="Times" w:eastAsia="Times" w:hAnsi="Times" w:cs="Times"/>
        </w:rPr>
        <w:t>To this end, we performed a titration on</w:t>
      </w:r>
      <w:r w:rsidR="00005018">
        <w:rPr>
          <w:rFonts w:ascii="Times" w:eastAsia="Times" w:hAnsi="Times" w:cs="Times"/>
        </w:rPr>
        <w:t xml:space="preserve"> </w:t>
      </w:r>
      <w:r w:rsidR="006A5CDD">
        <w:rPr>
          <w:rFonts w:ascii="Times" w:eastAsia="Times" w:hAnsi="Times" w:cs="Times"/>
        </w:rPr>
        <w:t xml:space="preserve">α-synuclein </w:t>
      </w:r>
      <w:r w:rsidR="00005018">
        <w:rPr>
          <w:rFonts w:ascii="Times" w:eastAsia="Times" w:hAnsi="Times" w:cs="Times"/>
        </w:rPr>
        <w:t>– a well known IDP involved in Parkinson’s disease –</w:t>
      </w:r>
      <w:r w:rsidR="006A5CDD">
        <w:rPr>
          <w:rFonts w:ascii="Times" w:eastAsia="Times" w:hAnsi="Times" w:cs="Times"/>
        </w:rPr>
        <w:t xml:space="preserve"> using Fe(NOTA)</w:t>
      </w:r>
      <w:r w:rsidR="00342AE2">
        <w:rPr>
          <w:rFonts w:ascii="Times" w:eastAsia="Times" w:hAnsi="Times" w:cs="Times"/>
        </w:rPr>
        <w:t xml:space="preserve"> </w:t>
      </w:r>
      <w:r w:rsidR="00342AE2" w:rsidRPr="00342AE2">
        <w:rPr>
          <w:rFonts w:ascii="Times" w:eastAsia="Times" w:hAnsi="Times" w:cs="Times"/>
        </w:rPr>
        <w:t>[2, 3]</w:t>
      </w:r>
      <w:r w:rsidR="006A5CDD">
        <w:rPr>
          <w:rFonts w:ascii="Times" w:eastAsia="Times" w:hAnsi="Times" w:cs="Times"/>
        </w:rPr>
        <w:t xml:space="preserve"> as the co-solute paramagnetic agent. For each point of the titration, a series of 2D Inversion Recovery experiments are acquired using different relaxation delays to obtain longitudinal relaxation rates of proton nuclei (R</w:t>
      </w:r>
      <w:r w:rsidR="006A5CDD">
        <w:rPr>
          <w:rFonts w:ascii="Times" w:eastAsia="Times" w:hAnsi="Times" w:cs="Times"/>
          <w:vertAlign w:val="subscript"/>
        </w:rPr>
        <w:t>1</w:t>
      </w:r>
      <w:r w:rsidR="006A5CDD">
        <w:rPr>
          <w:rFonts w:ascii="Times" w:eastAsia="Times" w:hAnsi="Times" w:cs="Times"/>
        </w:rPr>
        <w:t xml:space="preserve">). </w:t>
      </w:r>
      <w:r w:rsidR="006A5CDD" w:rsidRPr="006A5CDD">
        <w:rPr>
          <w:rFonts w:ascii="Times" w:eastAsia="Times" w:hAnsi="Times" w:cs="Times"/>
        </w:rPr>
        <w:t>R</w:t>
      </w:r>
      <w:r w:rsidR="006A5CDD" w:rsidRPr="006A5CDD">
        <w:rPr>
          <w:rFonts w:ascii="Times" w:eastAsia="Times" w:hAnsi="Times" w:cs="Times"/>
          <w:vertAlign w:val="subscript"/>
        </w:rPr>
        <w:t>1</w:t>
      </w:r>
      <w:r w:rsidR="006A5CDD" w:rsidRPr="006A5CDD">
        <w:rPr>
          <w:rFonts w:ascii="Times" w:eastAsia="Times" w:hAnsi="Times" w:cs="Times"/>
        </w:rPr>
        <w:t xml:space="preserve"> rates were then fitted against </w:t>
      </w:r>
      <w:r w:rsidR="006A5CDD">
        <w:rPr>
          <w:rFonts w:ascii="Times" w:eastAsia="Times" w:hAnsi="Times" w:cs="Times"/>
        </w:rPr>
        <w:t xml:space="preserve">Fe(NOTA) </w:t>
      </w:r>
      <w:r w:rsidR="006A5CDD" w:rsidRPr="006A5CDD">
        <w:rPr>
          <w:rFonts w:ascii="Times" w:eastAsia="Times" w:hAnsi="Times" w:cs="Times"/>
        </w:rPr>
        <w:t>concentration to quantify the sPRE effect along the protein sequence</w:t>
      </w:r>
      <w:r w:rsidR="006A5CDD">
        <w:rPr>
          <w:rFonts w:ascii="Times" w:eastAsia="Times" w:hAnsi="Times" w:cs="Times"/>
        </w:rPr>
        <w:t xml:space="preserve"> and investigate the presence of transient conformations or weak interactions.</w:t>
      </w:r>
    </w:p>
    <w:p w14:paraId="7CDB0402" w14:textId="2F4F17C3" w:rsidR="00082B2D" w:rsidRDefault="00A52347">
      <w:pPr>
        <w:jc w:val="center"/>
        <w:rPr>
          <w:rFonts w:ascii="Times" w:eastAsia="Times" w:hAnsi="Times" w:cs="Times"/>
        </w:rPr>
      </w:pPr>
      <w:r>
        <w:rPr>
          <w:rFonts w:ascii="Times" w:eastAsia="Times" w:hAnsi="Times" w:cs="Times"/>
          <w:noProof/>
        </w:rPr>
        <w:drawing>
          <wp:inline distT="0" distB="0" distL="0" distR="0" wp14:anchorId="53B8ABB3" wp14:editId="71921682">
            <wp:extent cx="4883150" cy="1912566"/>
            <wp:effectExtent l="0" t="0" r="0" b="0"/>
            <wp:docPr id="9568713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12222" b="18148"/>
                    <a:stretch/>
                  </pic:blipFill>
                  <pic:spPr bwMode="auto">
                    <a:xfrm>
                      <a:off x="0" y="0"/>
                      <a:ext cx="4895016" cy="1917213"/>
                    </a:xfrm>
                    <a:prstGeom prst="rect">
                      <a:avLst/>
                    </a:prstGeom>
                    <a:noFill/>
                    <a:ln>
                      <a:noFill/>
                    </a:ln>
                    <a:extLst>
                      <a:ext uri="{53640926-AAD7-44D8-BBD7-CCE9431645EC}">
                        <a14:shadowObscured xmlns:a14="http://schemas.microsoft.com/office/drawing/2010/main"/>
                      </a:ext>
                    </a:extLst>
                  </pic:spPr>
                </pic:pic>
              </a:graphicData>
            </a:graphic>
          </wp:inline>
        </w:drawing>
      </w:r>
      <w:r w:rsidR="00082B2D">
        <w:rPr>
          <w:rFonts w:ascii="Times" w:eastAsia="Times" w:hAnsi="Times" w:cs="Times"/>
        </w:rPr>
        <w:t xml:space="preserve"> </w:t>
      </w:r>
    </w:p>
    <w:p w14:paraId="3D9425A6" w14:textId="3069AB78" w:rsidR="006529CE" w:rsidRPr="00DD731F" w:rsidRDefault="00082B2D" w:rsidP="006529CE">
      <w:pPr>
        <w:jc w:val="center"/>
        <w:rPr>
          <w:rFonts w:ascii="Times" w:eastAsia="Times" w:hAnsi="Times" w:cs="Times"/>
        </w:rPr>
      </w:pPr>
      <w:r w:rsidRPr="00DD731F">
        <w:rPr>
          <w:rFonts w:ascii="Times" w:eastAsia="Times" w:hAnsi="Times" w:cs="Times"/>
        </w:rPr>
        <w:t xml:space="preserve">Fig. 1. </w:t>
      </w:r>
      <w:r w:rsidR="006529CE">
        <w:rPr>
          <w:rFonts w:ascii="Times" w:eastAsia="Times" w:hAnsi="Times" w:cs="Times"/>
        </w:rPr>
        <w:t>Schematic representation of NMR sPRE experiments acquisition and interpretation</w:t>
      </w:r>
    </w:p>
    <w:p w14:paraId="5640FB57" w14:textId="77777777" w:rsidR="00082B2D" w:rsidRDefault="00082B2D">
      <w:pPr>
        <w:rPr>
          <w:rFonts w:ascii="Times" w:eastAsia="Times" w:hAnsi="Times" w:cs="Times"/>
        </w:rPr>
      </w:pPr>
    </w:p>
    <w:p w14:paraId="15F71884" w14:textId="66852CFC" w:rsidR="00082B2D" w:rsidRPr="00DD731F" w:rsidRDefault="004E0C60" w:rsidP="006764C7">
      <w:pPr>
        <w:spacing w:after="120"/>
        <w:rPr>
          <w:rFonts w:ascii="Times" w:eastAsia="Times" w:hAnsi="Times" w:cs="Times"/>
          <w:b/>
        </w:rPr>
      </w:pPr>
      <w:r w:rsidRPr="00DD731F">
        <w:rPr>
          <w:rFonts w:ascii="Times" w:eastAsia="Times" w:hAnsi="Times" w:cs="Times"/>
          <w:b/>
        </w:rPr>
        <w:t>References</w:t>
      </w:r>
    </w:p>
    <w:p w14:paraId="312AE5C4" w14:textId="4AF8F38F" w:rsidR="009107EA" w:rsidRDefault="009107EA">
      <w:pPr>
        <w:rPr>
          <w:rFonts w:ascii="Times" w:eastAsia="Times" w:hAnsi="Times" w:cs="Times"/>
        </w:rPr>
      </w:pPr>
      <w:r>
        <w:rPr>
          <w:rFonts w:ascii="Times" w:eastAsia="Times" w:hAnsi="Times" w:cs="Times"/>
        </w:rPr>
        <w:t xml:space="preserve">[1] </w:t>
      </w:r>
      <w:r w:rsidRPr="009107EA">
        <w:rPr>
          <w:rFonts w:ascii="Times" w:eastAsia="Times" w:hAnsi="Times" w:cs="Times"/>
        </w:rPr>
        <w:t>E.</w:t>
      </w:r>
      <w:r>
        <w:rPr>
          <w:rFonts w:ascii="Times" w:eastAsia="Times" w:hAnsi="Times" w:cs="Times"/>
        </w:rPr>
        <w:t xml:space="preserve"> </w:t>
      </w:r>
      <w:r w:rsidRPr="009107EA">
        <w:rPr>
          <w:rFonts w:ascii="Times" w:eastAsia="Times" w:hAnsi="Times" w:cs="Times"/>
        </w:rPr>
        <w:t>Spreitzer, S.</w:t>
      </w:r>
      <w:r>
        <w:rPr>
          <w:rFonts w:ascii="Times" w:eastAsia="Times" w:hAnsi="Times" w:cs="Times"/>
        </w:rPr>
        <w:t xml:space="preserve"> </w:t>
      </w:r>
      <w:r w:rsidRPr="009107EA">
        <w:rPr>
          <w:rFonts w:ascii="Times" w:eastAsia="Times" w:hAnsi="Times" w:cs="Times"/>
        </w:rPr>
        <w:t>Usluer, and T. Madl</w:t>
      </w:r>
      <w:r w:rsidR="00C641E3">
        <w:rPr>
          <w:rFonts w:ascii="Times" w:eastAsia="Times" w:hAnsi="Times" w:cs="Times"/>
        </w:rPr>
        <w:t xml:space="preserve"> </w:t>
      </w:r>
      <w:r w:rsidR="00C641E3" w:rsidRPr="00C641E3">
        <w:rPr>
          <w:rFonts w:ascii="Times" w:eastAsia="Times" w:hAnsi="Times" w:cs="Times"/>
          <w:i/>
          <w:iCs/>
        </w:rPr>
        <w:t>J</w:t>
      </w:r>
      <w:r w:rsidR="00C641E3">
        <w:rPr>
          <w:rFonts w:ascii="Times" w:eastAsia="Times" w:hAnsi="Times" w:cs="Times"/>
          <w:i/>
          <w:iCs/>
        </w:rPr>
        <w:t>.</w:t>
      </w:r>
      <w:r w:rsidR="00C641E3" w:rsidRPr="00C641E3">
        <w:rPr>
          <w:rFonts w:ascii="Times" w:eastAsia="Times" w:hAnsi="Times" w:cs="Times"/>
          <w:i/>
          <w:iCs/>
        </w:rPr>
        <w:t xml:space="preserve"> Mol</w:t>
      </w:r>
      <w:r w:rsidR="00C641E3">
        <w:rPr>
          <w:rFonts w:ascii="Times" w:eastAsia="Times" w:hAnsi="Times" w:cs="Times"/>
          <w:i/>
          <w:iCs/>
        </w:rPr>
        <w:t>.</w:t>
      </w:r>
      <w:r w:rsidR="00C641E3" w:rsidRPr="00C641E3">
        <w:rPr>
          <w:rFonts w:ascii="Times" w:eastAsia="Times" w:hAnsi="Times" w:cs="Times"/>
          <w:i/>
          <w:iCs/>
        </w:rPr>
        <w:t xml:space="preserve"> Biol</w:t>
      </w:r>
      <w:r w:rsidR="00C641E3">
        <w:rPr>
          <w:rFonts w:ascii="Times" w:eastAsia="Times" w:hAnsi="Times" w:cs="Times"/>
          <w:i/>
          <w:iCs/>
        </w:rPr>
        <w:t>.</w:t>
      </w:r>
      <w:r w:rsidR="00C641E3">
        <w:rPr>
          <w:rFonts w:ascii="Times" w:eastAsia="Times" w:hAnsi="Times" w:cs="Times"/>
        </w:rPr>
        <w:t xml:space="preserve"> </w:t>
      </w:r>
      <w:r w:rsidRPr="00C641E3">
        <w:rPr>
          <w:rFonts w:ascii="Times" w:eastAsia="Times" w:hAnsi="Times" w:cs="Times"/>
          <w:b/>
          <w:bCs/>
        </w:rPr>
        <w:t>432</w:t>
      </w:r>
      <w:r w:rsidRPr="009107EA">
        <w:rPr>
          <w:rFonts w:ascii="Times" w:eastAsia="Times" w:hAnsi="Times" w:cs="Times"/>
        </w:rPr>
        <w:t>(9), 2949</w:t>
      </w:r>
      <w:r w:rsidRPr="009107EA">
        <w:rPr>
          <w:rFonts w:ascii="Times" w:eastAsia="Times" w:hAnsi="Times" w:cs="Times" w:hint="cs"/>
        </w:rPr>
        <w:t>–</w:t>
      </w:r>
      <w:r w:rsidRPr="009107EA">
        <w:rPr>
          <w:rFonts w:ascii="Times" w:eastAsia="Times" w:hAnsi="Times" w:cs="Times"/>
        </w:rPr>
        <w:t>2972 (2020)</w:t>
      </w:r>
    </w:p>
    <w:p w14:paraId="4AA95B6A" w14:textId="530FBA95" w:rsidR="006154B7" w:rsidRDefault="006154B7">
      <w:pPr>
        <w:rPr>
          <w:rFonts w:ascii="Times" w:eastAsia="Times" w:hAnsi="Times" w:cs="Times"/>
        </w:rPr>
      </w:pPr>
      <w:r>
        <w:rPr>
          <w:rFonts w:ascii="Times" w:eastAsia="Times" w:hAnsi="Times" w:cs="Times"/>
        </w:rPr>
        <w:t xml:space="preserve">[2] </w:t>
      </w:r>
      <w:r w:rsidRPr="006154B7">
        <w:rPr>
          <w:rFonts w:ascii="Times" w:eastAsia="Times" w:hAnsi="Times" w:cs="Times"/>
        </w:rPr>
        <w:t>M.</w:t>
      </w:r>
      <w:r>
        <w:rPr>
          <w:rFonts w:ascii="Times" w:eastAsia="Times" w:hAnsi="Times" w:cs="Times"/>
        </w:rPr>
        <w:t xml:space="preserve"> </w:t>
      </w:r>
      <w:r w:rsidRPr="006154B7">
        <w:rPr>
          <w:rFonts w:ascii="Times" w:eastAsia="Times" w:hAnsi="Times" w:cs="Times"/>
        </w:rPr>
        <w:t>Botta, C. F. G. C Geraldes, L. Tei</w:t>
      </w:r>
      <w:r>
        <w:rPr>
          <w:rFonts w:ascii="Times" w:eastAsia="Times" w:hAnsi="Times" w:cs="Times"/>
        </w:rPr>
        <w:t xml:space="preserve"> </w:t>
      </w:r>
      <w:r w:rsidRPr="006154B7">
        <w:rPr>
          <w:rFonts w:ascii="Times" w:eastAsia="Times" w:hAnsi="Times" w:cs="Times"/>
          <w:i/>
          <w:iCs/>
        </w:rPr>
        <w:t>WIREs Nanomed</w:t>
      </w:r>
      <w:r>
        <w:rPr>
          <w:rFonts w:ascii="Times" w:eastAsia="Times" w:hAnsi="Times" w:cs="Times"/>
          <w:i/>
          <w:iCs/>
        </w:rPr>
        <w:t>.</w:t>
      </w:r>
      <w:r w:rsidRPr="006154B7">
        <w:rPr>
          <w:rFonts w:ascii="Times" w:eastAsia="Times" w:hAnsi="Times" w:cs="Times"/>
          <w:i/>
          <w:iCs/>
        </w:rPr>
        <w:t xml:space="preserve"> Nanobiotechnol</w:t>
      </w:r>
      <w:r>
        <w:rPr>
          <w:rFonts w:ascii="Times" w:eastAsia="Times" w:hAnsi="Times" w:cs="Times"/>
        </w:rPr>
        <w:t>.</w:t>
      </w:r>
      <w:r w:rsidRPr="006154B7">
        <w:rPr>
          <w:rFonts w:ascii="Times" w:eastAsia="Times" w:hAnsi="Times" w:cs="Times"/>
        </w:rPr>
        <w:t xml:space="preserve"> </w:t>
      </w:r>
      <w:r w:rsidRPr="006154B7">
        <w:rPr>
          <w:rFonts w:ascii="Times" w:eastAsia="Times" w:hAnsi="Times" w:cs="Times"/>
          <w:b/>
          <w:bCs/>
        </w:rPr>
        <w:t>15</w:t>
      </w:r>
      <w:r w:rsidRPr="006154B7">
        <w:rPr>
          <w:rFonts w:ascii="Times" w:eastAsia="Times" w:hAnsi="Times" w:cs="Times"/>
        </w:rPr>
        <w:t>(2)</w:t>
      </w:r>
      <w:r>
        <w:rPr>
          <w:rFonts w:ascii="Times" w:eastAsia="Times" w:hAnsi="Times" w:cs="Times"/>
        </w:rPr>
        <w:t xml:space="preserve">, </w:t>
      </w:r>
      <w:r w:rsidRPr="006154B7">
        <w:rPr>
          <w:rFonts w:ascii="Times" w:eastAsia="Times" w:hAnsi="Times" w:cs="Times"/>
        </w:rPr>
        <w:t xml:space="preserve">e1858 </w:t>
      </w:r>
      <w:r>
        <w:rPr>
          <w:rFonts w:ascii="Times" w:eastAsia="Times" w:hAnsi="Times" w:cs="Times"/>
        </w:rPr>
        <w:t>(</w:t>
      </w:r>
      <w:r w:rsidRPr="006154B7">
        <w:rPr>
          <w:rFonts w:ascii="Times" w:eastAsia="Times" w:hAnsi="Times" w:cs="Times"/>
        </w:rPr>
        <w:t>2023</w:t>
      </w:r>
      <w:r>
        <w:rPr>
          <w:rFonts w:ascii="Times" w:eastAsia="Times" w:hAnsi="Times" w:cs="Times"/>
        </w:rPr>
        <w:t>)</w:t>
      </w:r>
      <w:r w:rsidRPr="006154B7">
        <w:rPr>
          <w:rFonts w:ascii="Times" w:eastAsia="Times" w:hAnsi="Times" w:cs="Times"/>
        </w:rPr>
        <w:t xml:space="preserve"> </w:t>
      </w:r>
    </w:p>
    <w:p w14:paraId="2B1EDEBC" w14:textId="0733773D" w:rsidR="0003317B" w:rsidRDefault="006154B7">
      <w:pPr>
        <w:rPr>
          <w:rFonts w:ascii="Times" w:eastAsia="Times" w:hAnsi="Times" w:cs="Times"/>
        </w:rPr>
      </w:pPr>
      <w:r>
        <w:rPr>
          <w:rFonts w:ascii="Times" w:eastAsia="Times" w:hAnsi="Times" w:cs="Times"/>
        </w:rPr>
        <w:t>[3]</w:t>
      </w:r>
      <w:r w:rsidR="0093208A">
        <w:rPr>
          <w:rFonts w:ascii="Times" w:eastAsia="Times" w:hAnsi="Times" w:cs="Times"/>
        </w:rPr>
        <w:t xml:space="preserve"> </w:t>
      </w:r>
      <w:r w:rsidR="003F700C" w:rsidRPr="003F700C">
        <w:rPr>
          <w:rFonts w:ascii="Times" w:eastAsia="Times" w:hAnsi="Times" w:cs="Times"/>
        </w:rPr>
        <w:t>S.</w:t>
      </w:r>
      <w:r w:rsidR="003F700C">
        <w:rPr>
          <w:rFonts w:ascii="Times" w:eastAsia="Times" w:hAnsi="Times" w:cs="Times"/>
        </w:rPr>
        <w:t xml:space="preserve"> </w:t>
      </w:r>
      <w:r w:rsidR="003F700C" w:rsidRPr="003F700C">
        <w:rPr>
          <w:rFonts w:ascii="Times" w:eastAsia="Times" w:hAnsi="Times" w:cs="Times"/>
        </w:rPr>
        <w:t>Chen,</w:t>
      </w:r>
      <w:r w:rsidR="003F700C">
        <w:rPr>
          <w:rFonts w:ascii="Times" w:eastAsia="Times" w:hAnsi="Times" w:cs="Times"/>
        </w:rPr>
        <w:t xml:space="preserve"> </w:t>
      </w:r>
      <w:r w:rsidR="003F700C" w:rsidRPr="003F700C">
        <w:rPr>
          <w:rFonts w:ascii="Times" w:eastAsia="Times" w:hAnsi="Times" w:cs="Times"/>
        </w:rPr>
        <w:t>L.</w:t>
      </w:r>
      <w:r w:rsidR="003F700C">
        <w:rPr>
          <w:rFonts w:ascii="Times" w:eastAsia="Times" w:hAnsi="Times" w:cs="Times"/>
        </w:rPr>
        <w:t xml:space="preserve"> </w:t>
      </w:r>
      <w:r w:rsidR="003F700C" w:rsidRPr="003F700C">
        <w:rPr>
          <w:rFonts w:ascii="Times" w:eastAsia="Times" w:hAnsi="Times" w:cs="Times"/>
        </w:rPr>
        <w:t>An, S.</w:t>
      </w:r>
      <w:r w:rsidR="003F700C">
        <w:rPr>
          <w:rFonts w:ascii="Times" w:eastAsia="Times" w:hAnsi="Times" w:cs="Times"/>
        </w:rPr>
        <w:t xml:space="preserve"> </w:t>
      </w:r>
      <w:r w:rsidR="003F700C" w:rsidRPr="003F700C">
        <w:rPr>
          <w:rFonts w:ascii="Times" w:eastAsia="Times" w:hAnsi="Times" w:cs="Times"/>
        </w:rPr>
        <w:t xml:space="preserve">Yang </w:t>
      </w:r>
      <w:r w:rsidR="003F700C" w:rsidRPr="003F700C">
        <w:rPr>
          <w:rFonts w:ascii="Times" w:eastAsia="Times" w:hAnsi="Times" w:cs="Times"/>
          <w:i/>
          <w:iCs/>
        </w:rPr>
        <w:t>Molecules</w:t>
      </w:r>
      <w:r w:rsidR="003F700C" w:rsidRPr="003F700C">
        <w:rPr>
          <w:rFonts w:ascii="Times" w:eastAsia="Times" w:hAnsi="Times" w:cs="Times"/>
        </w:rPr>
        <w:t xml:space="preserve"> </w:t>
      </w:r>
      <w:r w:rsidR="003F700C" w:rsidRPr="003F700C">
        <w:rPr>
          <w:rFonts w:ascii="Times" w:eastAsia="Times" w:hAnsi="Times" w:cs="Times"/>
          <w:b/>
          <w:bCs/>
        </w:rPr>
        <w:t>27</w:t>
      </w:r>
      <w:r w:rsidR="003F700C" w:rsidRPr="003F700C">
        <w:rPr>
          <w:rFonts w:ascii="Times" w:eastAsia="Times" w:hAnsi="Times" w:cs="Times"/>
        </w:rPr>
        <w:t>, 4573</w:t>
      </w:r>
      <w:r w:rsidR="003F700C">
        <w:rPr>
          <w:rFonts w:ascii="Times" w:eastAsia="Times" w:hAnsi="Times" w:cs="Times"/>
        </w:rPr>
        <w:t xml:space="preserve"> (2022)</w:t>
      </w:r>
    </w:p>
    <w:p w14:paraId="0533F38C" w14:textId="77777777" w:rsidR="00A52347" w:rsidRDefault="00A52347">
      <w:pPr>
        <w:rPr>
          <w:rFonts w:ascii="Times" w:eastAsia="Times" w:hAnsi="Times" w:cs="Times"/>
        </w:rPr>
      </w:pPr>
    </w:p>
    <w:p w14:paraId="1D47DFA7" w14:textId="5604BACC" w:rsidR="0003317B" w:rsidRPr="0003317B" w:rsidRDefault="0003317B" w:rsidP="006764C7">
      <w:pPr>
        <w:spacing w:after="120"/>
        <w:rPr>
          <w:rFonts w:ascii="Times" w:eastAsia="Times" w:hAnsi="Times" w:cs="Times"/>
          <w:b/>
          <w:bCs/>
        </w:rPr>
      </w:pPr>
      <w:r w:rsidRPr="0003317B">
        <w:rPr>
          <w:rFonts w:ascii="Times" w:eastAsia="Times" w:hAnsi="Times" w:cs="Times"/>
          <w:b/>
          <w:bCs/>
        </w:rPr>
        <w:t>Acknowledgements</w:t>
      </w:r>
    </w:p>
    <w:p w14:paraId="1611DAC3" w14:textId="69E0D682" w:rsidR="00C641E3" w:rsidRPr="00A52347" w:rsidRDefault="0003317B" w:rsidP="006764C7">
      <w:pPr>
        <w:jc w:val="both"/>
        <w:rPr>
          <w:rFonts w:ascii="Times" w:eastAsia="Times" w:hAnsi="Times" w:cs="Times"/>
        </w:rPr>
      </w:pPr>
      <w:r>
        <w:rPr>
          <w:rFonts w:ascii="Times" w:eastAsia="Times" w:hAnsi="Times" w:cs="Times"/>
        </w:rPr>
        <w:t xml:space="preserve">This work </w:t>
      </w:r>
      <w:r w:rsidR="006068C7">
        <w:rPr>
          <w:rFonts w:ascii="Times" w:eastAsia="Times" w:hAnsi="Times" w:cs="Times"/>
        </w:rPr>
        <w:t xml:space="preserve">was supported by the CERM/CIRMMP </w:t>
      </w:r>
      <w:r w:rsidR="006068C7" w:rsidRPr="006068C7">
        <w:rPr>
          <w:rFonts w:ascii="Times" w:eastAsia="Times" w:hAnsi="Times" w:cs="Times"/>
        </w:rPr>
        <w:t xml:space="preserve">center of Instruct-ERIC </w:t>
      </w:r>
      <w:r w:rsidR="005F67B1">
        <w:rPr>
          <w:rFonts w:ascii="Times" w:eastAsia="Times" w:hAnsi="Times" w:cs="Times"/>
        </w:rPr>
        <w:t xml:space="preserve">(ITACA.SB project) </w:t>
      </w:r>
      <w:r w:rsidR="006068C7" w:rsidRPr="006068C7">
        <w:rPr>
          <w:rFonts w:ascii="Times" w:eastAsia="Times" w:hAnsi="Times" w:cs="Times"/>
        </w:rPr>
        <w:t>and by the</w:t>
      </w:r>
      <w:r w:rsidR="006068C7">
        <w:rPr>
          <w:rFonts w:ascii="Times" w:eastAsia="Times" w:hAnsi="Times" w:cs="Times"/>
        </w:rPr>
        <w:t xml:space="preserve"> </w:t>
      </w:r>
      <w:r w:rsidR="006068C7" w:rsidRPr="006068C7">
        <w:rPr>
          <w:rFonts w:ascii="Times" w:eastAsia="Times" w:hAnsi="Times" w:cs="Times"/>
        </w:rPr>
        <w:t>Italian Ministry for University and Research (MUR) through the PRIN 2022</w:t>
      </w:r>
      <w:r w:rsidR="006068C7">
        <w:rPr>
          <w:rFonts w:ascii="Times" w:eastAsia="Times" w:hAnsi="Times" w:cs="Times"/>
        </w:rPr>
        <w:t xml:space="preserve"> </w:t>
      </w:r>
      <w:r w:rsidR="006068C7" w:rsidRPr="006068C7">
        <w:rPr>
          <w:rFonts w:ascii="Times" w:eastAsia="Times" w:hAnsi="Times" w:cs="Times"/>
        </w:rPr>
        <w:t>(2022EMZJL4)</w:t>
      </w:r>
      <w:r w:rsidR="006068C7" w:rsidRPr="006068C7">
        <w:rPr>
          <w:rFonts w:ascii="Times" w:eastAsia="Times" w:hAnsi="Times" w:cs="Times" w:hint="cs"/>
        </w:rPr>
        <w:t> </w:t>
      </w:r>
      <w:r w:rsidR="006068C7" w:rsidRPr="006068C7">
        <w:rPr>
          <w:rFonts w:ascii="Times" w:eastAsia="Times" w:hAnsi="Times" w:cs="Times"/>
        </w:rPr>
        <w:t>project</w:t>
      </w:r>
      <w:r>
        <w:rPr>
          <w:rFonts w:ascii="Times" w:eastAsia="Times" w:hAnsi="Times" w:cs="Times"/>
        </w:rPr>
        <w:t xml:space="preserve"> and </w:t>
      </w:r>
      <w:r w:rsidR="006068C7">
        <w:rPr>
          <w:rFonts w:ascii="Times" w:eastAsia="Times" w:hAnsi="Times" w:cs="Times"/>
        </w:rPr>
        <w:t xml:space="preserve">the </w:t>
      </w:r>
      <w:r w:rsidR="000F6A9D" w:rsidRPr="000F6A9D">
        <w:rPr>
          <w:rFonts w:ascii="Times" w:eastAsia="Times" w:hAnsi="Times" w:cs="Times"/>
        </w:rPr>
        <w:t xml:space="preserve">Italian Ministry of Health project PAN-HUB </w:t>
      </w:r>
      <w:r w:rsidR="000F6A9D">
        <w:rPr>
          <w:rFonts w:ascii="Times" w:eastAsia="Times" w:hAnsi="Times" w:cs="Times"/>
        </w:rPr>
        <w:t>(</w:t>
      </w:r>
      <w:r w:rsidR="000F6A9D" w:rsidRPr="000F6A9D">
        <w:rPr>
          <w:rFonts w:ascii="Times" w:eastAsia="Times" w:hAnsi="Times" w:cs="Times"/>
        </w:rPr>
        <w:t>2021-T4-AN-07)</w:t>
      </w:r>
      <w:r w:rsidR="00BB3AD7">
        <w:rPr>
          <w:rFonts w:ascii="Times" w:eastAsia="Times" w:hAnsi="Times" w:cs="Times"/>
        </w:rPr>
        <w:t>.</w:t>
      </w:r>
    </w:p>
    <w:sectPr w:rsidR="00C641E3" w:rsidRPr="00A52347" w:rsidSect="00CF04AC">
      <w:footnotePr>
        <w:pos w:val="beneathText"/>
      </w:footnotePr>
      <w:pgSz w:w="11905" w:h="16837"/>
      <w:pgMar w:top="1134" w:right="1134" w:bottom="1134" w:left="1134" w:header="1701" w:footer="1701"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itstream Vera Serif">
    <w:altName w:val="Times New Roman"/>
    <w:charset w:val="00"/>
    <w:family w:val="roman"/>
    <w:pitch w:val="variable"/>
  </w:font>
  <w:font w:name="Bitstream Vera Sans">
    <w:altName w:val="Times New Roman"/>
    <w:charset w:val="00"/>
    <w:family w:val="auto"/>
    <w:pitch w:val="variable"/>
  </w:font>
  <w:font w:name="Lucidasans">
    <w:altName w:val="Times New Roman"/>
    <w:charset w:val="00"/>
    <w:family w:val="auto"/>
    <w:pitch w:val="variable"/>
  </w:font>
  <w:font w:name="Mincho">
    <w:altName w:val="明朝"/>
    <w:panose1 w:val="02020609040305080305"/>
    <w:charset w:val="80"/>
    <w:family w:val="roman"/>
    <w:pitch w:val="fixed"/>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6034111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en-US" w:vendorID="64" w:dllVersion="6" w:nlCheck="1" w:checkStyle="0"/>
  <w:activeWritingStyle w:appName="MSWord" w:lang="it-IT" w:vendorID="64" w:dllVersion="6" w:nlCheck="1" w:checkStyle="0"/>
  <w:activeWritingStyle w:appName="MSWord" w:lang="en-US" w:vendorID="64" w:dllVersion="0" w:nlCheck="1" w:checkStyle="0"/>
  <w:activeWritingStyle w:appName="MSWord" w:lang="it-IT" w:vendorID="64" w:dllVersion="0" w:nlCheck="1" w:checkStyle="0"/>
  <w:defaultTabStop w:val="709"/>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LKwNDYwNzE3MjWwNDFV0lEKTi0uzszPAykwrAUAorsLeSwAAAA="/>
  </w:docVars>
  <w:rsids>
    <w:rsidRoot w:val="006929AC"/>
    <w:rsid w:val="0000020A"/>
    <w:rsid w:val="00005018"/>
    <w:rsid w:val="0003317B"/>
    <w:rsid w:val="00035B0B"/>
    <w:rsid w:val="000442EB"/>
    <w:rsid w:val="000778B2"/>
    <w:rsid w:val="00082B2D"/>
    <w:rsid w:val="000B14C1"/>
    <w:rsid w:val="000B29D0"/>
    <w:rsid w:val="000B63B7"/>
    <w:rsid w:val="000C62AA"/>
    <w:rsid w:val="000F6A9D"/>
    <w:rsid w:val="001B2988"/>
    <w:rsid w:val="001D2A92"/>
    <w:rsid w:val="001E117D"/>
    <w:rsid w:val="001E2B99"/>
    <w:rsid w:val="00216EEE"/>
    <w:rsid w:val="0027318B"/>
    <w:rsid w:val="002C37F0"/>
    <w:rsid w:val="002F70A1"/>
    <w:rsid w:val="00313CB4"/>
    <w:rsid w:val="00342AE2"/>
    <w:rsid w:val="003527FF"/>
    <w:rsid w:val="003C31F7"/>
    <w:rsid w:val="003E7745"/>
    <w:rsid w:val="003F1170"/>
    <w:rsid w:val="003F700C"/>
    <w:rsid w:val="00424FF8"/>
    <w:rsid w:val="00467F90"/>
    <w:rsid w:val="00473A0D"/>
    <w:rsid w:val="004A389D"/>
    <w:rsid w:val="004A7C2B"/>
    <w:rsid w:val="004D28DA"/>
    <w:rsid w:val="004E0C60"/>
    <w:rsid w:val="005003EB"/>
    <w:rsid w:val="00516BE3"/>
    <w:rsid w:val="005624E4"/>
    <w:rsid w:val="00581EF3"/>
    <w:rsid w:val="00584C4A"/>
    <w:rsid w:val="005A76ED"/>
    <w:rsid w:val="005C2001"/>
    <w:rsid w:val="005F67B1"/>
    <w:rsid w:val="006068C7"/>
    <w:rsid w:val="006154B7"/>
    <w:rsid w:val="00620BED"/>
    <w:rsid w:val="006417BE"/>
    <w:rsid w:val="006529CE"/>
    <w:rsid w:val="006764C7"/>
    <w:rsid w:val="006929AC"/>
    <w:rsid w:val="006A34A3"/>
    <w:rsid w:val="006A5CDD"/>
    <w:rsid w:val="006F6962"/>
    <w:rsid w:val="007313B2"/>
    <w:rsid w:val="007475FE"/>
    <w:rsid w:val="00787F37"/>
    <w:rsid w:val="007D1CD8"/>
    <w:rsid w:val="00867D12"/>
    <w:rsid w:val="00880EE5"/>
    <w:rsid w:val="008C28B9"/>
    <w:rsid w:val="008E581A"/>
    <w:rsid w:val="00907D8C"/>
    <w:rsid w:val="009107EA"/>
    <w:rsid w:val="0093208A"/>
    <w:rsid w:val="00965E49"/>
    <w:rsid w:val="009A3614"/>
    <w:rsid w:val="009C0990"/>
    <w:rsid w:val="009F7D9D"/>
    <w:rsid w:val="00A4349B"/>
    <w:rsid w:val="00A516A8"/>
    <w:rsid w:val="00A52347"/>
    <w:rsid w:val="00A629E9"/>
    <w:rsid w:val="00A65977"/>
    <w:rsid w:val="00AB165F"/>
    <w:rsid w:val="00AB286E"/>
    <w:rsid w:val="00AC4B16"/>
    <w:rsid w:val="00AE34DD"/>
    <w:rsid w:val="00AE7BB4"/>
    <w:rsid w:val="00AF33E2"/>
    <w:rsid w:val="00AF5B28"/>
    <w:rsid w:val="00B672F6"/>
    <w:rsid w:val="00BB3AD7"/>
    <w:rsid w:val="00BC4909"/>
    <w:rsid w:val="00BD6818"/>
    <w:rsid w:val="00BD7BA2"/>
    <w:rsid w:val="00BF5138"/>
    <w:rsid w:val="00BF6065"/>
    <w:rsid w:val="00C231E2"/>
    <w:rsid w:val="00C641E3"/>
    <w:rsid w:val="00CC1A6E"/>
    <w:rsid w:val="00CF04AC"/>
    <w:rsid w:val="00D064F9"/>
    <w:rsid w:val="00D4324E"/>
    <w:rsid w:val="00D96421"/>
    <w:rsid w:val="00DD731F"/>
    <w:rsid w:val="00F92695"/>
    <w:rsid w:val="00FA6C0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B41E3"/>
  <w15:chartTrackingRefBased/>
  <w15:docId w15:val="{3A6C0B53-7616-401B-BD17-5F2BFA60C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ascii="Bitstream Vera Serif" w:eastAsia="Bitstream Vera Sans" w:hAnsi="Bitstream Vera Serif"/>
      <w:sz w:val="24"/>
      <w:szCs w:val="24"/>
      <w:lang w:val="en-US"/>
    </w:rPr>
  </w:style>
  <w:style w:type="paragraph" w:styleId="Heading3">
    <w:name w:val="heading 3"/>
    <w:basedOn w:val="Heading"/>
    <w:next w:val="BodyText"/>
    <w:qFormat/>
    <w:pPr>
      <w:numPr>
        <w:ilvl w:val="2"/>
        <w:numId w:val="1"/>
      </w:numPr>
      <w:outlineLvl w:val="2"/>
    </w:pPr>
    <w:rPr>
      <w:rFonts w:ascii="Bitstream Vera Serif" w:eastAsia="Bitstream Vera Sans" w:hAnsi="Bitstream Vera Serif"/>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style>
  <w:style w:type="character" w:styleId="Hyperlink">
    <w:name w:val="Hyperlink"/>
    <w:semiHidden/>
    <w:rPr>
      <w:color w:val="000080"/>
      <w:u w:val="single"/>
    </w:rPr>
  </w:style>
  <w:style w:type="character" w:styleId="FollowedHyperlink">
    <w:name w:val="FollowedHyperlink"/>
    <w:semiHidden/>
    <w:rPr>
      <w:color w:val="800000"/>
      <w:u w:val="single"/>
    </w:rPr>
  </w:style>
  <w:style w:type="paragraph" w:customStyle="1" w:styleId="Heading">
    <w:name w:val="Heading"/>
    <w:basedOn w:val="Normal"/>
    <w:next w:val="BodyText"/>
    <w:pPr>
      <w:keepNext/>
      <w:spacing w:before="240" w:after="283"/>
    </w:pPr>
    <w:rPr>
      <w:rFonts w:ascii="Bitstream Vera Sans" w:eastAsia="Mincho" w:hAnsi="Bitstream Vera Sans" w:cs="Lucidasans"/>
      <w:sz w:val="28"/>
      <w:szCs w:val="28"/>
    </w:rPr>
  </w:style>
  <w:style w:type="paragraph" w:styleId="BodyText">
    <w:name w:val="Body Text"/>
    <w:basedOn w:val="Normal"/>
    <w:semiHidden/>
    <w:pPr>
      <w:spacing w:after="120"/>
    </w:pPr>
  </w:style>
  <w:style w:type="paragraph" w:styleId="List">
    <w:name w:val="List"/>
    <w:basedOn w:val="BodyText"/>
    <w:semiHidden/>
    <w:rPr>
      <w:rFonts w:cs="Lucidasans"/>
    </w:rPr>
  </w:style>
  <w:style w:type="paragraph" w:customStyle="1" w:styleId="Caption1">
    <w:name w:val="Caption1"/>
    <w:basedOn w:val="Normal"/>
    <w:pPr>
      <w:suppressLineNumbers/>
      <w:spacing w:before="120" w:after="120"/>
    </w:pPr>
    <w:rPr>
      <w:rFonts w:cs="Lucidasans"/>
      <w:i/>
      <w:iCs/>
      <w:sz w:val="20"/>
      <w:szCs w:val="20"/>
    </w:rPr>
  </w:style>
  <w:style w:type="paragraph" w:customStyle="1" w:styleId="Index">
    <w:name w:val="Index"/>
    <w:basedOn w:val="Normal"/>
    <w:pPr>
      <w:suppressLineNumbers/>
    </w:pPr>
    <w:rPr>
      <w:rFonts w:cs="Lucidasan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1219007">
      <w:bodyDiv w:val="1"/>
      <w:marLeft w:val="0"/>
      <w:marRight w:val="0"/>
      <w:marTop w:val="0"/>
      <w:marBottom w:val="0"/>
      <w:divBdr>
        <w:top w:val="none" w:sz="0" w:space="0" w:color="auto"/>
        <w:left w:val="none" w:sz="0" w:space="0" w:color="auto"/>
        <w:bottom w:val="none" w:sz="0" w:space="0" w:color="auto"/>
        <w:right w:val="none" w:sz="0" w:space="0" w:color="auto"/>
      </w:divBdr>
      <w:divsChild>
        <w:div w:id="861161823">
          <w:marLeft w:val="0"/>
          <w:marRight w:val="0"/>
          <w:marTop w:val="0"/>
          <w:marBottom w:val="0"/>
          <w:divBdr>
            <w:top w:val="none" w:sz="0" w:space="0" w:color="auto"/>
            <w:left w:val="none" w:sz="0" w:space="0" w:color="auto"/>
            <w:bottom w:val="none" w:sz="0" w:space="0" w:color="auto"/>
            <w:right w:val="none" w:sz="0" w:space="0" w:color="auto"/>
          </w:divBdr>
        </w:div>
        <w:div w:id="1349410238">
          <w:marLeft w:val="0"/>
          <w:marRight w:val="0"/>
          <w:marTop w:val="0"/>
          <w:marBottom w:val="0"/>
          <w:divBdr>
            <w:top w:val="none" w:sz="0" w:space="0" w:color="auto"/>
            <w:left w:val="none" w:sz="0" w:space="0" w:color="auto"/>
            <w:bottom w:val="none" w:sz="0" w:space="0" w:color="auto"/>
            <w:right w:val="none" w:sz="0" w:space="0" w:color="auto"/>
          </w:divBdr>
        </w:div>
        <w:div w:id="1701053578">
          <w:marLeft w:val="0"/>
          <w:marRight w:val="0"/>
          <w:marTop w:val="0"/>
          <w:marBottom w:val="0"/>
          <w:divBdr>
            <w:top w:val="none" w:sz="0" w:space="0" w:color="auto"/>
            <w:left w:val="none" w:sz="0" w:space="0" w:color="auto"/>
            <w:bottom w:val="none" w:sz="0" w:space="0" w:color="auto"/>
            <w:right w:val="none" w:sz="0" w:space="0" w:color="auto"/>
          </w:divBdr>
        </w:div>
      </w:divsChild>
    </w:div>
    <w:div w:id="895824386">
      <w:bodyDiv w:val="1"/>
      <w:marLeft w:val="0"/>
      <w:marRight w:val="0"/>
      <w:marTop w:val="0"/>
      <w:marBottom w:val="0"/>
      <w:divBdr>
        <w:top w:val="none" w:sz="0" w:space="0" w:color="auto"/>
        <w:left w:val="none" w:sz="0" w:space="0" w:color="auto"/>
        <w:bottom w:val="none" w:sz="0" w:space="0" w:color="auto"/>
        <w:right w:val="none" w:sz="0" w:space="0" w:color="auto"/>
      </w:divBdr>
      <w:divsChild>
        <w:div w:id="797919432">
          <w:marLeft w:val="0"/>
          <w:marRight w:val="0"/>
          <w:marTop w:val="0"/>
          <w:marBottom w:val="0"/>
          <w:divBdr>
            <w:top w:val="none" w:sz="0" w:space="0" w:color="auto"/>
            <w:left w:val="none" w:sz="0" w:space="0" w:color="auto"/>
            <w:bottom w:val="none" w:sz="0" w:space="0" w:color="auto"/>
            <w:right w:val="none" w:sz="0" w:space="0" w:color="auto"/>
          </w:divBdr>
          <w:divsChild>
            <w:div w:id="1427995578">
              <w:marLeft w:val="0"/>
              <w:marRight w:val="0"/>
              <w:marTop w:val="0"/>
              <w:marBottom w:val="0"/>
              <w:divBdr>
                <w:top w:val="none" w:sz="0" w:space="0" w:color="auto"/>
                <w:left w:val="none" w:sz="0" w:space="0" w:color="auto"/>
                <w:bottom w:val="none" w:sz="0" w:space="0" w:color="auto"/>
                <w:right w:val="none" w:sz="0" w:space="0" w:color="auto"/>
              </w:divBdr>
              <w:divsChild>
                <w:div w:id="174895942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282567704">
      <w:bodyDiv w:val="1"/>
      <w:marLeft w:val="0"/>
      <w:marRight w:val="0"/>
      <w:marTop w:val="0"/>
      <w:marBottom w:val="0"/>
      <w:divBdr>
        <w:top w:val="none" w:sz="0" w:space="0" w:color="auto"/>
        <w:left w:val="none" w:sz="0" w:space="0" w:color="auto"/>
        <w:bottom w:val="none" w:sz="0" w:space="0" w:color="auto"/>
        <w:right w:val="none" w:sz="0" w:space="0" w:color="auto"/>
      </w:divBdr>
    </w:div>
    <w:div w:id="1332172231">
      <w:bodyDiv w:val="1"/>
      <w:marLeft w:val="0"/>
      <w:marRight w:val="0"/>
      <w:marTop w:val="0"/>
      <w:marBottom w:val="0"/>
      <w:divBdr>
        <w:top w:val="none" w:sz="0" w:space="0" w:color="auto"/>
        <w:left w:val="none" w:sz="0" w:space="0" w:color="auto"/>
        <w:bottom w:val="none" w:sz="0" w:space="0" w:color="auto"/>
        <w:right w:val="none" w:sz="0" w:space="0" w:color="auto"/>
      </w:divBdr>
      <w:divsChild>
        <w:div w:id="2093700991">
          <w:marLeft w:val="0"/>
          <w:marRight w:val="0"/>
          <w:marTop w:val="0"/>
          <w:marBottom w:val="0"/>
          <w:divBdr>
            <w:top w:val="none" w:sz="0" w:space="0" w:color="auto"/>
            <w:left w:val="none" w:sz="0" w:space="0" w:color="auto"/>
            <w:bottom w:val="none" w:sz="0" w:space="0" w:color="auto"/>
            <w:right w:val="none" w:sz="0" w:space="0" w:color="auto"/>
          </w:divBdr>
          <w:divsChild>
            <w:div w:id="231546382">
              <w:marLeft w:val="0"/>
              <w:marRight w:val="0"/>
              <w:marTop w:val="0"/>
              <w:marBottom w:val="0"/>
              <w:divBdr>
                <w:top w:val="none" w:sz="0" w:space="0" w:color="auto"/>
                <w:left w:val="none" w:sz="0" w:space="0" w:color="auto"/>
                <w:bottom w:val="none" w:sz="0" w:space="0" w:color="auto"/>
                <w:right w:val="none" w:sz="0" w:space="0" w:color="auto"/>
              </w:divBdr>
              <w:divsChild>
                <w:div w:id="98489689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679192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your.address@here.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402</Words>
  <Characters>2298</Characters>
  <Application>Microsoft Office Word</Application>
  <DocSecurity>0</DocSecurity>
  <Lines>19</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2695</CharactersWithSpaces>
  <SharedDoc>false</SharedDoc>
  <HLinks>
    <vt:vector size="6" baseType="variant">
      <vt:variant>
        <vt:i4>786544</vt:i4>
      </vt:variant>
      <vt:variant>
        <vt:i4>0</vt:i4>
      </vt:variant>
      <vt:variant>
        <vt:i4>0</vt:i4>
      </vt:variant>
      <vt:variant>
        <vt:i4>5</vt:i4>
      </vt:variant>
      <vt:variant>
        <vt:lpwstr>mailto:your.address@here.it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dc:creator>
  <cp:keywords/>
  <dc:description/>
  <cp:lastModifiedBy>Caterina Lippi</cp:lastModifiedBy>
  <cp:revision>2</cp:revision>
  <cp:lastPrinted>2112-12-31T23:00:00Z</cp:lastPrinted>
  <dcterms:created xsi:type="dcterms:W3CDTF">2025-05-29T16:51:00Z</dcterms:created>
  <dcterms:modified xsi:type="dcterms:W3CDTF">2025-05-29T16:51:00Z</dcterms:modified>
</cp:coreProperties>
</file>