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922DEB" w:rsidRPr="007E20EF" w:rsidRDefault="00922DEB" w:rsidP="00742CA4">
      <w:pPr>
        <w:jc w:val="both"/>
        <w:rPr>
          <w:rFonts w:ascii="Times New Roman" w:hAnsi="Times New Roman"/>
          <w:sz w:val="24"/>
          <w:szCs w:val="24"/>
        </w:rPr>
      </w:pPr>
      <w:r w:rsidRPr="007E20EF">
        <w:rPr>
          <w:rFonts w:ascii="Times New Roman" w:hAnsi="Times New Roman"/>
          <w:sz w:val="24"/>
          <w:szCs w:val="24"/>
        </w:rPr>
        <w:t xml:space="preserve">Fiorella Imprenti, </w:t>
      </w:r>
      <w:r w:rsidRPr="007E20EF">
        <w:rPr>
          <w:rFonts w:ascii="Times New Roman" w:hAnsi="Times New Roman"/>
          <w:i/>
          <w:sz w:val="24"/>
          <w:szCs w:val="24"/>
        </w:rPr>
        <w:t>Riformiste. Il municipalismo femminile in età liberale</w:t>
      </w:r>
      <w:r w:rsidRPr="007E20EF">
        <w:rPr>
          <w:rFonts w:ascii="Times New Roman" w:hAnsi="Times New Roman"/>
          <w:sz w:val="24"/>
          <w:szCs w:val="24"/>
        </w:rPr>
        <w:t>, Rubbettino, Soveria Mannelli, 2012.</w:t>
      </w:r>
    </w:p>
    <w:p w:rsidR="00922DEB" w:rsidRPr="007E20EF" w:rsidRDefault="00922DEB" w:rsidP="00742CA4">
      <w:pPr>
        <w:jc w:val="both"/>
        <w:rPr>
          <w:rFonts w:ascii="Times New Roman" w:hAnsi="Times New Roman"/>
          <w:sz w:val="24"/>
          <w:szCs w:val="24"/>
        </w:rPr>
      </w:pPr>
      <w:r w:rsidRPr="007E20EF">
        <w:rPr>
          <w:rFonts w:ascii="Times New Roman" w:hAnsi="Times New Roman"/>
          <w:sz w:val="24"/>
          <w:szCs w:val="24"/>
        </w:rPr>
        <w:t>In questo volume</w:t>
      </w:r>
      <w:r>
        <w:rPr>
          <w:rFonts w:ascii="Times New Roman" w:hAnsi="Times New Roman"/>
          <w:sz w:val="24"/>
          <w:szCs w:val="24"/>
        </w:rPr>
        <w:t>, Fiorella Imprenti, specialista di storia di genere e del movimento operaio e socialista, si occupa</w:t>
      </w:r>
      <w:r w:rsidRPr="007E20EF">
        <w:rPr>
          <w:rFonts w:ascii="Times New Roman" w:hAnsi="Times New Roman"/>
          <w:sz w:val="24"/>
          <w:szCs w:val="24"/>
        </w:rPr>
        <w:t xml:space="preserve"> dell’agire politico f</w:t>
      </w:r>
      <w:r>
        <w:rPr>
          <w:rFonts w:ascii="Times New Roman" w:hAnsi="Times New Roman"/>
          <w:sz w:val="24"/>
          <w:szCs w:val="24"/>
        </w:rPr>
        <w:t>emminile nell’ambito delle istituzioni locali in Italia dalla fine dell’800 alla Grande Guerra. L’autrice si sofferma sui canali della partecipazione individuale e/o di gruppo, analizzando forme e dinamiche</w:t>
      </w:r>
      <w:r w:rsidRPr="007E20EF">
        <w:rPr>
          <w:rFonts w:ascii="Times New Roman" w:hAnsi="Times New Roman"/>
          <w:sz w:val="24"/>
          <w:szCs w:val="24"/>
        </w:rPr>
        <w:t xml:space="preserve"> di matrice diversa</w:t>
      </w:r>
      <w:r w:rsidRPr="000201FB">
        <w:rPr>
          <w:rFonts w:ascii="Times New Roman" w:hAnsi="Times New Roman"/>
          <w:sz w:val="24"/>
          <w:szCs w:val="24"/>
        </w:rPr>
        <w:t xml:space="preserve"> </w:t>
      </w:r>
      <w:r>
        <w:rPr>
          <w:rFonts w:ascii="Times New Roman" w:hAnsi="Times New Roman"/>
          <w:sz w:val="24"/>
          <w:szCs w:val="24"/>
        </w:rPr>
        <w:t>dell’associazionismo femminile di quel tempo</w:t>
      </w:r>
      <w:r w:rsidRPr="007E20EF">
        <w:rPr>
          <w:rFonts w:ascii="Times New Roman" w:hAnsi="Times New Roman"/>
          <w:sz w:val="24"/>
          <w:szCs w:val="24"/>
        </w:rPr>
        <w:t>. Non sempre i percorsi politici delle protagoniste del libro (che tiene insieme il “municipalismo femmini</w:t>
      </w:r>
      <w:r>
        <w:rPr>
          <w:rFonts w:ascii="Times New Roman" w:hAnsi="Times New Roman"/>
          <w:sz w:val="24"/>
          <w:szCs w:val="24"/>
        </w:rPr>
        <w:t>le” di fine secolo</w:t>
      </w:r>
      <w:r w:rsidRPr="007E20EF">
        <w:rPr>
          <w:rFonts w:ascii="Times New Roman" w:hAnsi="Times New Roman"/>
          <w:sz w:val="24"/>
          <w:szCs w:val="24"/>
        </w:rPr>
        <w:t xml:space="preserve"> a Milano, Catania, Padova e Roma</w:t>
      </w:r>
      <w:r>
        <w:rPr>
          <w:rFonts w:ascii="Times New Roman" w:hAnsi="Times New Roman"/>
          <w:sz w:val="24"/>
          <w:szCs w:val="24"/>
        </w:rPr>
        <w:t>,</w:t>
      </w:r>
      <w:r w:rsidRPr="007E20EF">
        <w:rPr>
          <w:rFonts w:ascii="Times New Roman" w:hAnsi="Times New Roman"/>
          <w:sz w:val="24"/>
          <w:szCs w:val="24"/>
        </w:rPr>
        <w:t xml:space="preserve"> ma anche le esperienze di Firenze, Venezia, Bologna e Napoli) raccontano una storia politica omogenea e nazionale (se non nel quadro di prospettiva che dipinge, nel primo capitolo, lo sviluppo del welfare in</w:t>
      </w:r>
      <w:r>
        <w:rPr>
          <w:rFonts w:ascii="Times New Roman" w:hAnsi="Times New Roman"/>
          <w:sz w:val="24"/>
          <w:szCs w:val="24"/>
        </w:rPr>
        <w:t xml:space="preserve"> Italia</w:t>
      </w:r>
      <w:r w:rsidRPr="007E20EF">
        <w:rPr>
          <w:rFonts w:ascii="Times New Roman" w:hAnsi="Times New Roman"/>
          <w:sz w:val="24"/>
          <w:szCs w:val="24"/>
        </w:rPr>
        <w:t>; welfare che è il campo di promozione delle carriere politiche delle donne ci</w:t>
      </w:r>
      <w:r>
        <w:rPr>
          <w:rFonts w:ascii="Times New Roman" w:hAnsi="Times New Roman"/>
          <w:sz w:val="24"/>
          <w:szCs w:val="24"/>
        </w:rPr>
        <w:t>tate). Il libro delinea,</w:t>
      </w:r>
      <w:r w:rsidRPr="007E20EF">
        <w:rPr>
          <w:rFonts w:ascii="Times New Roman" w:hAnsi="Times New Roman"/>
          <w:sz w:val="24"/>
          <w:szCs w:val="24"/>
        </w:rPr>
        <w:t xml:space="preserve"> </w:t>
      </w:r>
      <w:r>
        <w:rPr>
          <w:rFonts w:ascii="Times New Roman" w:hAnsi="Times New Roman"/>
          <w:sz w:val="24"/>
          <w:szCs w:val="24"/>
        </w:rPr>
        <w:t xml:space="preserve">infatti, </w:t>
      </w:r>
      <w:r w:rsidRPr="007E20EF">
        <w:rPr>
          <w:rFonts w:ascii="Times New Roman" w:hAnsi="Times New Roman"/>
          <w:sz w:val="24"/>
          <w:szCs w:val="24"/>
        </w:rPr>
        <w:t xml:space="preserve">una situazione </w:t>
      </w:r>
      <w:r>
        <w:rPr>
          <w:rFonts w:ascii="Times New Roman" w:hAnsi="Times New Roman"/>
          <w:sz w:val="24"/>
          <w:szCs w:val="24"/>
        </w:rPr>
        <w:t xml:space="preserve">molto variegata che non si spiega solo attraverso </w:t>
      </w:r>
      <w:r w:rsidRPr="007E20EF">
        <w:rPr>
          <w:rFonts w:ascii="Times New Roman" w:hAnsi="Times New Roman"/>
          <w:sz w:val="24"/>
          <w:szCs w:val="24"/>
        </w:rPr>
        <w:t>le cesure Nord-Sud o città provinciali-metropoli</w:t>
      </w:r>
      <w:r>
        <w:rPr>
          <w:rFonts w:ascii="Times New Roman" w:hAnsi="Times New Roman"/>
          <w:sz w:val="24"/>
          <w:szCs w:val="24"/>
        </w:rPr>
        <w:t>,</w:t>
      </w:r>
      <w:r w:rsidRPr="007E20EF">
        <w:rPr>
          <w:rFonts w:ascii="Times New Roman" w:hAnsi="Times New Roman"/>
          <w:sz w:val="24"/>
          <w:szCs w:val="24"/>
        </w:rPr>
        <w:t xml:space="preserve"> ma che trova</w:t>
      </w:r>
      <w:r>
        <w:rPr>
          <w:rFonts w:ascii="Times New Roman" w:hAnsi="Times New Roman"/>
          <w:sz w:val="24"/>
          <w:szCs w:val="24"/>
        </w:rPr>
        <w:t xml:space="preserve"> le sue</w:t>
      </w:r>
      <w:r w:rsidRPr="007E20EF">
        <w:rPr>
          <w:rFonts w:ascii="Times New Roman" w:hAnsi="Times New Roman"/>
          <w:sz w:val="24"/>
          <w:szCs w:val="24"/>
        </w:rPr>
        <w:t xml:space="preserve"> radici nel “combinato disposto” d</w:t>
      </w:r>
      <w:r>
        <w:rPr>
          <w:rFonts w:ascii="Times New Roman" w:hAnsi="Times New Roman"/>
          <w:sz w:val="24"/>
          <w:szCs w:val="24"/>
        </w:rPr>
        <w:t>ella presenza femminile attiva</w:t>
      </w:r>
      <w:r w:rsidRPr="007E20EF">
        <w:rPr>
          <w:rFonts w:ascii="Times New Roman" w:hAnsi="Times New Roman"/>
          <w:sz w:val="24"/>
          <w:szCs w:val="24"/>
        </w:rPr>
        <w:t xml:space="preserve"> nell’amministrazione dell’assistenza e della </w:t>
      </w:r>
      <w:proofErr w:type="spellStart"/>
      <w:r w:rsidRPr="007E20EF">
        <w:rPr>
          <w:rFonts w:ascii="Times New Roman" w:hAnsi="Times New Roman"/>
          <w:sz w:val="24"/>
          <w:szCs w:val="24"/>
        </w:rPr>
        <w:t>beneficienza</w:t>
      </w:r>
      <w:proofErr w:type="spellEnd"/>
      <w:r w:rsidRPr="007E20EF">
        <w:rPr>
          <w:rFonts w:ascii="Times New Roman" w:hAnsi="Times New Roman"/>
          <w:sz w:val="24"/>
          <w:szCs w:val="24"/>
        </w:rPr>
        <w:t xml:space="preserve"> e nella peculiare storia politica dell’area di appartenenza</w:t>
      </w:r>
      <w:r>
        <w:rPr>
          <w:rFonts w:ascii="Times New Roman" w:hAnsi="Times New Roman"/>
          <w:sz w:val="24"/>
          <w:szCs w:val="24"/>
        </w:rPr>
        <w:t xml:space="preserve"> delle attrici del volume,</w:t>
      </w:r>
      <w:r w:rsidRPr="007E20EF">
        <w:rPr>
          <w:rFonts w:ascii="Times New Roman" w:hAnsi="Times New Roman"/>
          <w:sz w:val="24"/>
          <w:szCs w:val="24"/>
        </w:rPr>
        <w:t xml:space="preserve"> facendo sì che solo un tessuto territoriale (spesso cittadino) culturale e politico propizio (come succede nelle amministrazioni di Milano e Catania) e economicamente ricco possa promuovere uno slittamento della carriere di donne già impegnate nell’amministrazione dell’assistenza verso l’impegno</w:t>
      </w:r>
      <w:r>
        <w:rPr>
          <w:rFonts w:ascii="Times New Roman" w:hAnsi="Times New Roman"/>
          <w:sz w:val="24"/>
          <w:szCs w:val="24"/>
        </w:rPr>
        <w:t xml:space="preserve"> istituzionale amministrativo e </w:t>
      </w:r>
      <w:r w:rsidRPr="007E20EF">
        <w:rPr>
          <w:rFonts w:ascii="Times New Roman" w:hAnsi="Times New Roman"/>
          <w:sz w:val="24"/>
          <w:szCs w:val="24"/>
        </w:rPr>
        <w:t>politico.</w:t>
      </w:r>
    </w:p>
    <w:p w:rsidR="00922DEB" w:rsidRDefault="00922DEB" w:rsidP="00742CA4">
      <w:pPr>
        <w:jc w:val="both"/>
        <w:rPr>
          <w:rFonts w:ascii="Times New Roman" w:hAnsi="Times New Roman"/>
          <w:sz w:val="24"/>
          <w:szCs w:val="24"/>
        </w:rPr>
      </w:pPr>
      <w:r>
        <w:rPr>
          <w:rFonts w:ascii="Times New Roman" w:hAnsi="Times New Roman"/>
          <w:sz w:val="24"/>
          <w:szCs w:val="24"/>
        </w:rPr>
        <w:t>In questo contesto un caso peculiare</w:t>
      </w:r>
      <w:r w:rsidRPr="007E20EF">
        <w:rPr>
          <w:rFonts w:ascii="Times New Roman" w:hAnsi="Times New Roman"/>
          <w:sz w:val="24"/>
          <w:szCs w:val="24"/>
        </w:rPr>
        <w:t xml:space="preserve"> è rappresentato da Firenze e dalla Toscana che, in base alla sia pur parziale indagine del 1907 condotta dal Ministero dell’Interno, esprimono uno dei tassi più elevati a livello nazionale di iniziativa femminile nelle opere di assistenza e </w:t>
      </w:r>
      <w:proofErr w:type="spellStart"/>
      <w:r w:rsidRPr="007E20EF">
        <w:rPr>
          <w:rFonts w:ascii="Times New Roman" w:hAnsi="Times New Roman"/>
          <w:sz w:val="24"/>
          <w:szCs w:val="24"/>
        </w:rPr>
        <w:t>b</w:t>
      </w:r>
      <w:r>
        <w:rPr>
          <w:rFonts w:ascii="Times New Roman" w:hAnsi="Times New Roman"/>
          <w:sz w:val="24"/>
          <w:szCs w:val="24"/>
        </w:rPr>
        <w:t>eneficienza</w:t>
      </w:r>
      <w:proofErr w:type="spellEnd"/>
      <w:r>
        <w:rPr>
          <w:rFonts w:ascii="Times New Roman" w:hAnsi="Times New Roman"/>
          <w:sz w:val="24"/>
          <w:szCs w:val="24"/>
        </w:rPr>
        <w:t xml:space="preserve"> a carattere privato, ma che</w:t>
      </w:r>
      <w:r w:rsidRPr="007E20EF">
        <w:rPr>
          <w:rFonts w:ascii="Times New Roman" w:hAnsi="Times New Roman"/>
          <w:sz w:val="24"/>
          <w:szCs w:val="24"/>
        </w:rPr>
        <w:t xml:space="preserve"> si situ</w:t>
      </w:r>
      <w:r>
        <w:rPr>
          <w:rFonts w:ascii="Times New Roman" w:hAnsi="Times New Roman"/>
          <w:sz w:val="24"/>
          <w:szCs w:val="24"/>
        </w:rPr>
        <w:t>a</w:t>
      </w:r>
      <w:r w:rsidRPr="007E20EF">
        <w:rPr>
          <w:rFonts w:ascii="Times New Roman" w:hAnsi="Times New Roman"/>
          <w:sz w:val="24"/>
          <w:szCs w:val="24"/>
        </w:rPr>
        <w:t>no sotto la media per la partecipazione delle donne negli apparati direttivi degli enti pubblici. Anche la maggiore apertura di genere arrivata con gli anni dell’amministrazione popolare d</w:t>
      </w:r>
      <w:r>
        <w:rPr>
          <w:rFonts w:ascii="Times New Roman" w:hAnsi="Times New Roman"/>
          <w:sz w:val="24"/>
          <w:szCs w:val="24"/>
        </w:rPr>
        <w:t>el municipio non portò</w:t>
      </w:r>
      <w:r w:rsidRPr="007E20EF">
        <w:rPr>
          <w:rFonts w:ascii="Times New Roman" w:hAnsi="Times New Roman"/>
          <w:sz w:val="24"/>
          <w:szCs w:val="24"/>
        </w:rPr>
        <w:t xml:space="preserve"> alle fiorentine – o alle fiorenti</w:t>
      </w:r>
      <w:r>
        <w:rPr>
          <w:rFonts w:ascii="Times New Roman" w:hAnsi="Times New Roman"/>
          <w:sz w:val="24"/>
          <w:szCs w:val="24"/>
        </w:rPr>
        <w:t xml:space="preserve">ne acquisite - </w:t>
      </w:r>
      <w:r w:rsidRPr="007E20EF">
        <w:rPr>
          <w:rFonts w:ascii="Times New Roman" w:hAnsi="Times New Roman"/>
          <w:sz w:val="24"/>
          <w:szCs w:val="24"/>
        </w:rPr>
        <w:t xml:space="preserve">spazi quantitativamente e qualitativamente migliori. </w:t>
      </w:r>
      <w:r>
        <w:rPr>
          <w:rFonts w:ascii="Times New Roman" w:hAnsi="Times New Roman"/>
          <w:sz w:val="24"/>
          <w:szCs w:val="24"/>
        </w:rPr>
        <w:t>In quella congiuntura, si segnalano l’</w:t>
      </w:r>
      <w:r w:rsidRPr="007E20EF">
        <w:rPr>
          <w:rFonts w:ascii="Times New Roman" w:hAnsi="Times New Roman"/>
          <w:sz w:val="24"/>
          <w:szCs w:val="24"/>
        </w:rPr>
        <w:t>apporto e</w:t>
      </w:r>
      <w:r>
        <w:rPr>
          <w:rFonts w:ascii="Times New Roman" w:hAnsi="Times New Roman"/>
          <w:sz w:val="24"/>
          <w:szCs w:val="24"/>
        </w:rPr>
        <w:t xml:space="preserve"> l’impegno de</w:t>
      </w:r>
      <w:r w:rsidRPr="007E20EF">
        <w:rPr>
          <w:rFonts w:ascii="Times New Roman" w:hAnsi="Times New Roman"/>
          <w:sz w:val="24"/>
          <w:szCs w:val="24"/>
        </w:rPr>
        <w:t>lle esponenti della comunità ebraica cittadina.</w:t>
      </w:r>
    </w:p>
    <w:p w:rsidR="00922DEB" w:rsidRDefault="00922DEB" w:rsidP="00742CA4">
      <w:pPr>
        <w:jc w:val="both"/>
        <w:rPr>
          <w:rFonts w:ascii="Times New Roman" w:hAnsi="Times New Roman"/>
          <w:sz w:val="24"/>
          <w:szCs w:val="24"/>
        </w:rPr>
      </w:pPr>
      <w:r>
        <w:rPr>
          <w:rFonts w:ascii="Times New Roman" w:hAnsi="Times New Roman"/>
          <w:sz w:val="24"/>
          <w:szCs w:val="24"/>
        </w:rPr>
        <w:t>Naturalmente l’appartenenza sociale e politica delle protagoniste non è disgiunta dal diverso colore delle amministrazioni comunali che si avvicendano nelle città prese in esame. E’ così che a Milano e a Firenze le donne “liberal moderate e cattoliche giungono a ricoprire gli incarichi pubblici scalzando, nel cambio di colore delle giunte, le democratiche e le socialiste che si erano aperte il varco e che lasciavano il posto [a loro] una volta affermato il principio dell’ammissibilità delle nomine femminili” (pag. 129); ammissibilità a posti che comunque e sempre, sono e rimangono legate alla gestione per conto dei comuni delle mense, dei servizi alle madri, all’infanzia e alla scuola.</w:t>
      </w:r>
    </w:p>
    <w:p w:rsidR="00922DEB" w:rsidRDefault="00922DEB" w:rsidP="00742CA4">
      <w:pPr>
        <w:jc w:val="both"/>
        <w:rPr>
          <w:rFonts w:ascii="Times New Roman" w:hAnsi="Times New Roman"/>
          <w:sz w:val="24"/>
          <w:szCs w:val="24"/>
        </w:rPr>
      </w:pPr>
      <w:r>
        <w:rPr>
          <w:rFonts w:ascii="Times New Roman" w:hAnsi="Times New Roman"/>
          <w:sz w:val="24"/>
          <w:szCs w:val="24"/>
        </w:rPr>
        <w:t>Firenze è anche in questo periodo una città che offre poche possibilità alle donne che intendono impegnarsi nella cosa pubblica (soprattutto e di nuovo dopo la fine della giunta popolare Sangiorgi): le uniche nomine del municipio riguardano infatti esponenti dell’alta borghesia, dell’aristocrazia e dell’élite letteraria dei salotti cittadini ed escludono, di fatto, qualsiasi impegno di attiviste di estrazione sociale meno elevata (nonché di orientamento politico diverso).</w:t>
      </w:r>
    </w:p>
    <w:p w:rsidR="00922DEB" w:rsidRDefault="00922DEB" w:rsidP="00742CA4">
      <w:pPr>
        <w:jc w:val="both"/>
        <w:rPr>
          <w:rFonts w:ascii="Times New Roman" w:hAnsi="Times New Roman"/>
          <w:sz w:val="24"/>
          <w:szCs w:val="24"/>
        </w:rPr>
      </w:pPr>
      <w:r>
        <w:rPr>
          <w:rFonts w:ascii="Times New Roman" w:hAnsi="Times New Roman"/>
          <w:sz w:val="24"/>
          <w:szCs w:val="24"/>
        </w:rPr>
        <w:t xml:space="preserve">Soltanto con l’approssimarsi della guerra e delle carriere collegate al femminismo operaio si schiudono orizzonti (che non si apriranno che nel 1946) di speranza legate all’ammissione di due donne nel Consiglio superiore del Lavoro nazionale. Se in quel frangente “La difesa delle Lavoratrici” </w:t>
      </w:r>
      <w:r>
        <w:rPr>
          <w:rFonts w:ascii="Times New Roman" w:hAnsi="Times New Roman"/>
          <w:sz w:val="24"/>
          <w:szCs w:val="24"/>
        </w:rPr>
        <w:lastRenderedPageBreak/>
        <w:t>si illude che “dai corpi tecnici e consultivi ai consessi amministrativi e politici è breve il passaggio”, due guerre mondiali e il fascismo avrebbero negato alle donne (comunque attive nell’ultimo ventennio all’interno di una trasformazione in senso più democratico e partecipativo del rapporto tra cittadini e istituzioni) la speranza di vedere riconosciute le conquiste di una generazione.</w:t>
      </w:r>
    </w:p>
    <w:p w:rsidR="00922DEB" w:rsidRPr="007E20EF" w:rsidRDefault="00922DEB" w:rsidP="00742CA4">
      <w:pPr>
        <w:jc w:val="both"/>
        <w:rPr>
          <w:rFonts w:ascii="Times New Roman" w:hAnsi="Times New Roman"/>
          <w:sz w:val="24"/>
          <w:szCs w:val="24"/>
        </w:rPr>
      </w:pPr>
      <w:r>
        <w:rPr>
          <w:rFonts w:ascii="Times New Roman" w:hAnsi="Times New Roman"/>
          <w:sz w:val="24"/>
          <w:szCs w:val="24"/>
        </w:rPr>
        <w:t xml:space="preserve">(Sheyla Moroni)   </w:t>
      </w:r>
      <w:r w:rsidRPr="007E20EF">
        <w:rPr>
          <w:rFonts w:ascii="Times New Roman" w:hAnsi="Times New Roman"/>
          <w:sz w:val="24"/>
          <w:szCs w:val="24"/>
        </w:rPr>
        <w:t xml:space="preserve">       </w:t>
      </w:r>
    </w:p>
    <w:sectPr w:rsidR="00922DEB" w:rsidRPr="007E20EF" w:rsidSect="00E80630">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A2"/>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7"/>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3B57"/>
    <w:rsid w:val="00001D54"/>
    <w:rsid w:val="0001213C"/>
    <w:rsid w:val="000201FB"/>
    <w:rsid w:val="00036519"/>
    <w:rsid w:val="00037DB3"/>
    <w:rsid w:val="00047333"/>
    <w:rsid w:val="000520F1"/>
    <w:rsid w:val="00057E4A"/>
    <w:rsid w:val="00066566"/>
    <w:rsid w:val="0006756D"/>
    <w:rsid w:val="00087F58"/>
    <w:rsid w:val="000A5ED9"/>
    <w:rsid w:val="000B0C48"/>
    <w:rsid w:val="000E3BE9"/>
    <w:rsid w:val="000F1D46"/>
    <w:rsid w:val="00110321"/>
    <w:rsid w:val="00117A27"/>
    <w:rsid w:val="00120D97"/>
    <w:rsid w:val="00121CAC"/>
    <w:rsid w:val="00151BE5"/>
    <w:rsid w:val="0016404D"/>
    <w:rsid w:val="00166577"/>
    <w:rsid w:val="0016680E"/>
    <w:rsid w:val="0017588E"/>
    <w:rsid w:val="00186A8D"/>
    <w:rsid w:val="00194EEB"/>
    <w:rsid w:val="001A0295"/>
    <w:rsid w:val="001A07B9"/>
    <w:rsid w:val="001A1A1D"/>
    <w:rsid w:val="001A620F"/>
    <w:rsid w:val="001A6DAE"/>
    <w:rsid w:val="001B01FC"/>
    <w:rsid w:val="001B44FE"/>
    <w:rsid w:val="001B7881"/>
    <w:rsid w:val="001F3215"/>
    <w:rsid w:val="00202966"/>
    <w:rsid w:val="00205866"/>
    <w:rsid w:val="00213548"/>
    <w:rsid w:val="002232BD"/>
    <w:rsid w:val="00237865"/>
    <w:rsid w:val="0026188C"/>
    <w:rsid w:val="00265F4D"/>
    <w:rsid w:val="002664B0"/>
    <w:rsid w:val="0027288B"/>
    <w:rsid w:val="00272AE7"/>
    <w:rsid w:val="002851FF"/>
    <w:rsid w:val="002862D0"/>
    <w:rsid w:val="00286BD3"/>
    <w:rsid w:val="00292036"/>
    <w:rsid w:val="00294D4A"/>
    <w:rsid w:val="0029721B"/>
    <w:rsid w:val="002A45EB"/>
    <w:rsid w:val="002A608D"/>
    <w:rsid w:val="002B0256"/>
    <w:rsid w:val="002B53C3"/>
    <w:rsid w:val="002C589C"/>
    <w:rsid w:val="002C654F"/>
    <w:rsid w:val="002E448B"/>
    <w:rsid w:val="002E7DFB"/>
    <w:rsid w:val="002F2AD3"/>
    <w:rsid w:val="002F2DAF"/>
    <w:rsid w:val="00306C32"/>
    <w:rsid w:val="00307DFF"/>
    <w:rsid w:val="00337C1E"/>
    <w:rsid w:val="00341718"/>
    <w:rsid w:val="00355712"/>
    <w:rsid w:val="00360880"/>
    <w:rsid w:val="0038676B"/>
    <w:rsid w:val="00391BA6"/>
    <w:rsid w:val="0039688D"/>
    <w:rsid w:val="003A3EE7"/>
    <w:rsid w:val="003C6283"/>
    <w:rsid w:val="003C75FB"/>
    <w:rsid w:val="003D2AF6"/>
    <w:rsid w:val="003E052C"/>
    <w:rsid w:val="003E6528"/>
    <w:rsid w:val="003F245A"/>
    <w:rsid w:val="003F312E"/>
    <w:rsid w:val="003F4411"/>
    <w:rsid w:val="003F5BCE"/>
    <w:rsid w:val="003F616D"/>
    <w:rsid w:val="00402000"/>
    <w:rsid w:val="00404872"/>
    <w:rsid w:val="00413BAE"/>
    <w:rsid w:val="004231DC"/>
    <w:rsid w:val="00425C4E"/>
    <w:rsid w:val="00427225"/>
    <w:rsid w:val="004347F4"/>
    <w:rsid w:val="00447B64"/>
    <w:rsid w:val="00453DAF"/>
    <w:rsid w:val="00454068"/>
    <w:rsid w:val="004579E7"/>
    <w:rsid w:val="004622D2"/>
    <w:rsid w:val="00463AD7"/>
    <w:rsid w:val="00473F10"/>
    <w:rsid w:val="004808EC"/>
    <w:rsid w:val="004812C0"/>
    <w:rsid w:val="00494442"/>
    <w:rsid w:val="004956E6"/>
    <w:rsid w:val="004B01C1"/>
    <w:rsid w:val="004C4A92"/>
    <w:rsid w:val="004C519D"/>
    <w:rsid w:val="004D6F0C"/>
    <w:rsid w:val="004E71C2"/>
    <w:rsid w:val="004F016F"/>
    <w:rsid w:val="004F0318"/>
    <w:rsid w:val="004F56CE"/>
    <w:rsid w:val="00503568"/>
    <w:rsid w:val="00506C01"/>
    <w:rsid w:val="00507200"/>
    <w:rsid w:val="00523B51"/>
    <w:rsid w:val="00531ED1"/>
    <w:rsid w:val="00533441"/>
    <w:rsid w:val="00537FC5"/>
    <w:rsid w:val="00540F52"/>
    <w:rsid w:val="0054252D"/>
    <w:rsid w:val="005476F9"/>
    <w:rsid w:val="0055023C"/>
    <w:rsid w:val="00553121"/>
    <w:rsid w:val="005537EA"/>
    <w:rsid w:val="00571747"/>
    <w:rsid w:val="0059240B"/>
    <w:rsid w:val="00594B7F"/>
    <w:rsid w:val="005A618A"/>
    <w:rsid w:val="005B2FE4"/>
    <w:rsid w:val="005C572B"/>
    <w:rsid w:val="005D7522"/>
    <w:rsid w:val="005E464C"/>
    <w:rsid w:val="005E4DC6"/>
    <w:rsid w:val="005F24A3"/>
    <w:rsid w:val="0060591C"/>
    <w:rsid w:val="00606A69"/>
    <w:rsid w:val="00611433"/>
    <w:rsid w:val="00613D97"/>
    <w:rsid w:val="00616CF2"/>
    <w:rsid w:val="00625A3B"/>
    <w:rsid w:val="00633A02"/>
    <w:rsid w:val="006408B9"/>
    <w:rsid w:val="006417DB"/>
    <w:rsid w:val="0065709B"/>
    <w:rsid w:val="00660022"/>
    <w:rsid w:val="006611AB"/>
    <w:rsid w:val="0066461E"/>
    <w:rsid w:val="0067715C"/>
    <w:rsid w:val="00687610"/>
    <w:rsid w:val="006B76D4"/>
    <w:rsid w:val="006E276E"/>
    <w:rsid w:val="006F15FD"/>
    <w:rsid w:val="006F341F"/>
    <w:rsid w:val="006F511F"/>
    <w:rsid w:val="00702C68"/>
    <w:rsid w:val="00730731"/>
    <w:rsid w:val="00742CA4"/>
    <w:rsid w:val="007466D3"/>
    <w:rsid w:val="007501F9"/>
    <w:rsid w:val="007601A7"/>
    <w:rsid w:val="007712DD"/>
    <w:rsid w:val="00771B0A"/>
    <w:rsid w:val="00773B6A"/>
    <w:rsid w:val="00774EAC"/>
    <w:rsid w:val="0077521C"/>
    <w:rsid w:val="007802BF"/>
    <w:rsid w:val="007A6017"/>
    <w:rsid w:val="007A670C"/>
    <w:rsid w:val="007B7C29"/>
    <w:rsid w:val="007C21EA"/>
    <w:rsid w:val="007E20EF"/>
    <w:rsid w:val="007E4296"/>
    <w:rsid w:val="007E678D"/>
    <w:rsid w:val="007F235E"/>
    <w:rsid w:val="008065AA"/>
    <w:rsid w:val="008145FC"/>
    <w:rsid w:val="00847EE1"/>
    <w:rsid w:val="008A346E"/>
    <w:rsid w:val="008A534F"/>
    <w:rsid w:val="008A7592"/>
    <w:rsid w:val="008C3C5E"/>
    <w:rsid w:val="008E34D7"/>
    <w:rsid w:val="008F381D"/>
    <w:rsid w:val="00902C93"/>
    <w:rsid w:val="0090435A"/>
    <w:rsid w:val="009059F0"/>
    <w:rsid w:val="009060C9"/>
    <w:rsid w:val="00910E29"/>
    <w:rsid w:val="009210BE"/>
    <w:rsid w:val="009215B2"/>
    <w:rsid w:val="00922DEB"/>
    <w:rsid w:val="009264A0"/>
    <w:rsid w:val="00942B89"/>
    <w:rsid w:val="00942DAE"/>
    <w:rsid w:val="00956B48"/>
    <w:rsid w:val="00965246"/>
    <w:rsid w:val="00980EFA"/>
    <w:rsid w:val="00986F4A"/>
    <w:rsid w:val="009A3092"/>
    <w:rsid w:val="009A672C"/>
    <w:rsid w:val="009C3B57"/>
    <w:rsid w:val="009C55BC"/>
    <w:rsid w:val="009D245C"/>
    <w:rsid w:val="009E24A6"/>
    <w:rsid w:val="009E31F5"/>
    <w:rsid w:val="009E434E"/>
    <w:rsid w:val="009E5131"/>
    <w:rsid w:val="009E6426"/>
    <w:rsid w:val="009E7E15"/>
    <w:rsid w:val="00A216CD"/>
    <w:rsid w:val="00A241DF"/>
    <w:rsid w:val="00A35183"/>
    <w:rsid w:val="00A36C40"/>
    <w:rsid w:val="00A5359B"/>
    <w:rsid w:val="00A8350D"/>
    <w:rsid w:val="00A96667"/>
    <w:rsid w:val="00AB4460"/>
    <w:rsid w:val="00AB7F4B"/>
    <w:rsid w:val="00AF1039"/>
    <w:rsid w:val="00AF441D"/>
    <w:rsid w:val="00B055F3"/>
    <w:rsid w:val="00B15387"/>
    <w:rsid w:val="00B16F3C"/>
    <w:rsid w:val="00B25396"/>
    <w:rsid w:val="00B3223C"/>
    <w:rsid w:val="00B3260B"/>
    <w:rsid w:val="00B510C5"/>
    <w:rsid w:val="00B528CC"/>
    <w:rsid w:val="00B56102"/>
    <w:rsid w:val="00B61784"/>
    <w:rsid w:val="00B654EE"/>
    <w:rsid w:val="00B85357"/>
    <w:rsid w:val="00BA2170"/>
    <w:rsid w:val="00BA24F1"/>
    <w:rsid w:val="00BB3C13"/>
    <w:rsid w:val="00BD0036"/>
    <w:rsid w:val="00BD0F54"/>
    <w:rsid w:val="00BD6FD7"/>
    <w:rsid w:val="00BE4652"/>
    <w:rsid w:val="00C07D5E"/>
    <w:rsid w:val="00C13CE5"/>
    <w:rsid w:val="00C222B0"/>
    <w:rsid w:val="00C27104"/>
    <w:rsid w:val="00C505D8"/>
    <w:rsid w:val="00C637A5"/>
    <w:rsid w:val="00C712CE"/>
    <w:rsid w:val="00C92316"/>
    <w:rsid w:val="00C92BC9"/>
    <w:rsid w:val="00CA2EFE"/>
    <w:rsid w:val="00CA4865"/>
    <w:rsid w:val="00CB0AB3"/>
    <w:rsid w:val="00CB7F71"/>
    <w:rsid w:val="00CD2171"/>
    <w:rsid w:val="00CD6723"/>
    <w:rsid w:val="00CE0394"/>
    <w:rsid w:val="00CE5AAD"/>
    <w:rsid w:val="00CF429A"/>
    <w:rsid w:val="00CF65A7"/>
    <w:rsid w:val="00D01C9E"/>
    <w:rsid w:val="00D16E1C"/>
    <w:rsid w:val="00D24EB9"/>
    <w:rsid w:val="00D33DF8"/>
    <w:rsid w:val="00D424EE"/>
    <w:rsid w:val="00D550DE"/>
    <w:rsid w:val="00D63348"/>
    <w:rsid w:val="00D66022"/>
    <w:rsid w:val="00D8411E"/>
    <w:rsid w:val="00D9038E"/>
    <w:rsid w:val="00D93265"/>
    <w:rsid w:val="00DA0D0A"/>
    <w:rsid w:val="00DB3B86"/>
    <w:rsid w:val="00DC052F"/>
    <w:rsid w:val="00DC063F"/>
    <w:rsid w:val="00DC5FA5"/>
    <w:rsid w:val="00DD20F9"/>
    <w:rsid w:val="00DE21A1"/>
    <w:rsid w:val="00DE3D3C"/>
    <w:rsid w:val="00E14D40"/>
    <w:rsid w:val="00E210E4"/>
    <w:rsid w:val="00E2358D"/>
    <w:rsid w:val="00E378D9"/>
    <w:rsid w:val="00E62CAE"/>
    <w:rsid w:val="00E66C7F"/>
    <w:rsid w:val="00E737C5"/>
    <w:rsid w:val="00E80630"/>
    <w:rsid w:val="00E90878"/>
    <w:rsid w:val="00E90D00"/>
    <w:rsid w:val="00EC16AB"/>
    <w:rsid w:val="00EC1F3D"/>
    <w:rsid w:val="00EC35B2"/>
    <w:rsid w:val="00EC454E"/>
    <w:rsid w:val="00ED14B2"/>
    <w:rsid w:val="00EF1018"/>
    <w:rsid w:val="00EF2E46"/>
    <w:rsid w:val="00EF7E49"/>
    <w:rsid w:val="00EF7F19"/>
    <w:rsid w:val="00F17EFF"/>
    <w:rsid w:val="00F17FE6"/>
    <w:rsid w:val="00F21579"/>
    <w:rsid w:val="00F22946"/>
    <w:rsid w:val="00F30781"/>
    <w:rsid w:val="00F358D5"/>
    <w:rsid w:val="00F37026"/>
    <w:rsid w:val="00F400AE"/>
    <w:rsid w:val="00F4534C"/>
    <w:rsid w:val="00F477AB"/>
    <w:rsid w:val="00F544C2"/>
    <w:rsid w:val="00F60C44"/>
    <w:rsid w:val="00F804BD"/>
    <w:rsid w:val="00F95CF5"/>
    <w:rsid w:val="00FC38DD"/>
    <w:rsid w:val="00FC7AC5"/>
    <w:rsid w:val="00FD3586"/>
    <w:rsid w:val="00FF1752"/>
    <w:rsid w:val="00FF6D4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15:docId w15:val="{F1436D58-A5CE-174C-AD85-44B8D19AC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sz w:val="22"/>
        <w:szCs w:val="22"/>
        <w:lang w:val="it-IT" w:eastAsia="it-IT"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E80630"/>
    <w:pPr>
      <w:spacing w:after="200" w:line="276" w:lineRule="auto"/>
    </w:pPr>
    <w:rPr>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2</Pages>
  <Words>644</Words>
  <Characters>3673</Characters>
  <Application>Microsoft Office Word</Application>
  <DocSecurity>0</DocSecurity>
  <Lines>30</Lines>
  <Paragraphs>8</Paragraphs>
  <ScaleCrop>false</ScaleCrop>
  <Company/>
  <LinksUpToDate>false</LinksUpToDate>
  <CharactersWithSpaces>4309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bradipa</dc:creator>
  <cp:keywords/>
  <dc:description/>
  <cp:lastModifiedBy>Sheyla Moroni</cp:lastModifiedBy>
  <cp:revision>2</cp:revision>
  <dcterms:created xsi:type="dcterms:W3CDTF">2025-06-30T09:04:00Z</dcterms:created>
  <dcterms:modified xsi:type="dcterms:W3CDTF">2025-06-30T09:04:00Z</dcterms:modified>
</cp:coreProperties>
</file>