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9DA99" w14:textId="3F1242FE" w:rsidR="001D626A" w:rsidRDefault="00DF325E" w:rsidP="00DD50BB">
      <w:pPr>
        <w:spacing w:after="120" w:line="240" w:lineRule="auto"/>
        <w:jc w:val="center"/>
        <w:rPr>
          <w:rFonts w:cstheme="minorHAnsi"/>
          <w:b/>
          <w:sz w:val="28"/>
          <w:szCs w:val="28"/>
          <w:lang w:val="en-US"/>
        </w:rPr>
      </w:pPr>
      <w:r>
        <w:rPr>
          <w:rFonts w:ascii="Arial" w:hAnsi="Arial" w:cs="Arial"/>
          <w:b/>
        </w:rPr>
        <w:t>NDTA :</w:t>
      </w:r>
      <w:r w:rsidR="002D6257">
        <w:rPr>
          <w:rFonts w:ascii="Arial" w:hAnsi="Arial" w:cs="Arial"/>
          <w:b/>
        </w:rPr>
        <w:t xml:space="preserve"> N</w:t>
      </w:r>
      <w:r>
        <w:rPr>
          <w:rFonts w:ascii="Arial" w:hAnsi="Arial" w:cs="Arial"/>
          <w:b/>
        </w:rPr>
        <w:t>ovel</w:t>
      </w:r>
      <w:r w:rsidR="002D6257">
        <w:rPr>
          <w:rFonts w:ascii="Arial" w:hAnsi="Arial" w:cs="Arial"/>
          <w:b/>
        </w:rPr>
        <w:t xml:space="preserve"> DiaCEST Agent with Strongly Shifted Exchanging </w:t>
      </w:r>
      <w:r w:rsidR="009765AE">
        <w:rPr>
          <w:rFonts w:ascii="Arial" w:hAnsi="Arial" w:cs="Arial"/>
          <w:b/>
        </w:rPr>
        <w:t>Protons</w:t>
      </w:r>
    </w:p>
    <w:p w14:paraId="41A838FB" w14:textId="734044D8" w:rsidR="00DD50BB" w:rsidRPr="002A6A28" w:rsidRDefault="001D626A" w:rsidP="00DD50BB">
      <w:pPr>
        <w:spacing w:after="120" w:line="240" w:lineRule="auto"/>
        <w:jc w:val="center"/>
        <w:rPr>
          <w:rFonts w:cstheme="minorHAnsi"/>
          <w:sz w:val="20"/>
          <w:szCs w:val="20"/>
          <w:lang w:val="it-IT"/>
        </w:rPr>
      </w:pPr>
      <w:r w:rsidRPr="009F71C4">
        <w:rPr>
          <w:rFonts w:cstheme="minorHAnsi"/>
          <w:sz w:val="20"/>
          <w:szCs w:val="20"/>
          <w:u w:val="single"/>
          <w:lang w:val="it-IT"/>
        </w:rPr>
        <w:t>Madalina Ranga</w:t>
      </w:r>
      <w:r w:rsidR="009F71C4">
        <w:rPr>
          <w:rFonts w:cstheme="minorHAnsi"/>
          <w:sz w:val="20"/>
          <w:szCs w:val="20"/>
          <w:lang w:val="it-IT"/>
        </w:rPr>
        <w:t>,</w:t>
      </w:r>
      <w:r w:rsidR="009F71C4">
        <w:rPr>
          <w:rFonts w:cstheme="minorHAnsi"/>
          <w:sz w:val="20"/>
          <w:szCs w:val="20"/>
          <w:vertAlign w:val="superscript"/>
          <w:lang w:val="it-IT"/>
        </w:rPr>
        <w:t>1</w:t>
      </w:r>
      <w:r w:rsidR="009F71C4">
        <w:rPr>
          <w:rFonts w:cstheme="minorHAnsi"/>
          <w:sz w:val="20"/>
          <w:szCs w:val="20"/>
          <w:lang w:val="it-IT"/>
        </w:rPr>
        <w:t xml:space="preserve"> </w:t>
      </w:r>
      <w:r w:rsidR="009F71C4" w:rsidRPr="009F71C4">
        <w:rPr>
          <w:rFonts w:cstheme="minorHAnsi"/>
          <w:sz w:val="20"/>
          <w:szCs w:val="20"/>
          <w:lang w:val="it-IT"/>
        </w:rPr>
        <w:t>Mai T. Huynh</w:t>
      </w:r>
      <w:r w:rsidR="009F71C4">
        <w:rPr>
          <w:rFonts w:cstheme="minorHAnsi"/>
          <w:sz w:val="20"/>
          <w:szCs w:val="20"/>
          <w:lang w:val="it-IT"/>
        </w:rPr>
        <w:t>,</w:t>
      </w:r>
      <w:r w:rsidR="009F71C4">
        <w:rPr>
          <w:rFonts w:cstheme="minorHAnsi"/>
          <w:sz w:val="20"/>
          <w:szCs w:val="20"/>
          <w:vertAlign w:val="superscript"/>
          <w:lang w:val="it-IT"/>
        </w:rPr>
        <w:t>2</w:t>
      </w:r>
      <w:r w:rsidR="009F71C4" w:rsidRPr="009F71C4">
        <w:rPr>
          <w:rFonts w:cstheme="minorHAnsi"/>
          <w:sz w:val="20"/>
          <w:szCs w:val="20"/>
          <w:lang w:val="it-IT"/>
        </w:rPr>
        <w:t xml:space="preserve"> Sara Chirayil,</w:t>
      </w:r>
      <w:r w:rsidR="009F71C4">
        <w:rPr>
          <w:rFonts w:cstheme="minorHAnsi"/>
          <w:sz w:val="20"/>
          <w:szCs w:val="20"/>
          <w:vertAlign w:val="superscript"/>
          <w:lang w:val="it-IT"/>
        </w:rPr>
        <w:t>2</w:t>
      </w:r>
      <w:r w:rsidR="009F71C4" w:rsidRPr="009F71C4">
        <w:rPr>
          <w:rFonts w:cstheme="minorHAnsi"/>
          <w:sz w:val="20"/>
          <w:szCs w:val="20"/>
          <w:lang w:val="it-IT"/>
        </w:rPr>
        <w:t xml:space="preserve"> Janaka Wansapura,</w:t>
      </w:r>
      <w:r w:rsidR="009F71C4">
        <w:rPr>
          <w:rFonts w:cstheme="minorHAnsi"/>
          <w:sz w:val="20"/>
          <w:szCs w:val="20"/>
          <w:vertAlign w:val="superscript"/>
          <w:lang w:val="it-IT"/>
        </w:rPr>
        <w:t>2</w:t>
      </w:r>
      <w:r w:rsidR="009F71C4" w:rsidRPr="009F71C4">
        <w:rPr>
          <w:rFonts w:cstheme="minorHAnsi"/>
          <w:sz w:val="20"/>
          <w:szCs w:val="20"/>
          <w:lang w:val="it-IT"/>
        </w:rPr>
        <w:t xml:space="preserve"> Elena Vinogradov,</w:t>
      </w:r>
      <w:r w:rsidR="009F71C4">
        <w:rPr>
          <w:rFonts w:cstheme="minorHAnsi"/>
          <w:sz w:val="20"/>
          <w:szCs w:val="20"/>
          <w:vertAlign w:val="superscript"/>
          <w:lang w:val="it-IT"/>
        </w:rPr>
        <w:t>3</w:t>
      </w:r>
      <w:r w:rsidR="009F71C4" w:rsidRPr="009F71C4">
        <w:rPr>
          <w:rFonts w:cstheme="minorHAnsi"/>
          <w:sz w:val="20"/>
          <w:szCs w:val="20"/>
          <w:lang w:val="it-IT"/>
        </w:rPr>
        <w:t xml:space="preserve"> Xiaodong Wen,</w:t>
      </w:r>
      <w:r w:rsidR="009F71C4">
        <w:rPr>
          <w:rFonts w:cstheme="minorHAnsi"/>
          <w:sz w:val="20"/>
          <w:szCs w:val="20"/>
          <w:vertAlign w:val="superscript"/>
          <w:lang w:val="it-IT"/>
        </w:rPr>
        <w:t>2</w:t>
      </w:r>
      <w:r w:rsidR="009F71C4" w:rsidRPr="009F71C4">
        <w:rPr>
          <w:rFonts w:cstheme="minorHAnsi"/>
          <w:sz w:val="20"/>
          <w:szCs w:val="20"/>
          <w:lang w:val="it-IT"/>
        </w:rPr>
        <w:t xml:space="preserve"> Mariangela Boccalon,</w:t>
      </w:r>
      <w:r w:rsidR="009F71C4">
        <w:rPr>
          <w:rFonts w:cstheme="minorHAnsi"/>
          <w:sz w:val="20"/>
          <w:szCs w:val="20"/>
          <w:vertAlign w:val="superscript"/>
          <w:lang w:val="it-IT"/>
        </w:rPr>
        <w:t>2</w:t>
      </w:r>
      <w:r w:rsidR="009F71C4" w:rsidRPr="009F71C4">
        <w:rPr>
          <w:rFonts w:cstheme="minorHAnsi"/>
          <w:sz w:val="20"/>
          <w:szCs w:val="20"/>
          <w:lang w:val="it-IT"/>
        </w:rPr>
        <w:t xml:space="preserve"> Zsolt Baranyai,</w:t>
      </w:r>
      <w:r w:rsidR="009F71C4">
        <w:rPr>
          <w:rFonts w:cstheme="minorHAnsi"/>
          <w:sz w:val="20"/>
          <w:szCs w:val="20"/>
          <w:vertAlign w:val="superscript"/>
          <w:lang w:val="it-IT"/>
        </w:rPr>
        <w:t>2</w:t>
      </w:r>
      <w:r w:rsidR="009F71C4" w:rsidRPr="009F71C4">
        <w:rPr>
          <w:rFonts w:cstheme="minorHAnsi"/>
          <w:sz w:val="20"/>
          <w:szCs w:val="20"/>
          <w:lang w:val="it-IT"/>
        </w:rPr>
        <w:t xml:space="preserve"> Zoltan Kovacs</w:t>
      </w:r>
      <w:r w:rsidR="009F71C4" w:rsidRPr="009F71C4">
        <w:rPr>
          <w:rFonts w:cstheme="minorHAnsi"/>
          <w:sz w:val="20"/>
          <w:szCs w:val="20"/>
          <w:vertAlign w:val="superscript"/>
          <w:lang w:val="it-IT"/>
        </w:rPr>
        <w:t>1</w:t>
      </w:r>
    </w:p>
    <w:p w14:paraId="6D9EDAA2" w14:textId="4A914BA9" w:rsidR="00DD50BB" w:rsidRDefault="009F71C4" w:rsidP="00DD50BB">
      <w:pPr>
        <w:spacing w:after="120" w:line="240" w:lineRule="auto"/>
        <w:jc w:val="center"/>
        <w:rPr>
          <w:i/>
          <w:iCs/>
          <w:sz w:val="18"/>
          <w:szCs w:val="18"/>
          <w:lang w:val="en-GB" w:eastAsia="zh-TW"/>
        </w:rPr>
      </w:pPr>
      <w:r>
        <w:rPr>
          <w:i/>
          <w:iCs/>
          <w:sz w:val="18"/>
          <w:szCs w:val="18"/>
          <w:vertAlign w:val="superscript"/>
          <w:lang w:val="en-GB" w:eastAsia="zh-TW"/>
        </w:rPr>
        <w:t>1</w:t>
      </w:r>
      <w:r w:rsidR="00D92784">
        <w:rPr>
          <w:i/>
          <w:iCs/>
          <w:sz w:val="18"/>
          <w:szCs w:val="18"/>
          <w:vertAlign w:val="superscript"/>
          <w:lang w:val="en-GB" w:eastAsia="zh-TW"/>
        </w:rPr>
        <w:t xml:space="preserve"> </w:t>
      </w:r>
      <w:r w:rsidR="00DD50BB">
        <w:rPr>
          <w:i/>
          <w:iCs/>
          <w:sz w:val="18"/>
          <w:szCs w:val="18"/>
          <w:lang w:val="en-GB" w:eastAsia="zh-TW"/>
        </w:rPr>
        <w:t>CRB</w:t>
      </w:r>
      <w:r w:rsidR="00A0651B">
        <w:rPr>
          <w:i/>
          <w:iCs/>
          <w:sz w:val="18"/>
          <w:szCs w:val="18"/>
          <w:lang w:val="en-GB" w:eastAsia="zh-TW"/>
        </w:rPr>
        <w:t xml:space="preserve"> Trieste</w:t>
      </w:r>
      <w:r w:rsidR="00DD50BB">
        <w:rPr>
          <w:i/>
          <w:iCs/>
          <w:sz w:val="18"/>
          <w:szCs w:val="18"/>
          <w:lang w:val="en-GB" w:eastAsia="zh-TW"/>
        </w:rPr>
        <w:t xml:space="preserve">, </w:t>
      </w:r>
      <w:r w:rsidR="00DD50BB" w:rsidRPr="00DD50BB">
        <w:rPr>
          <w:i/>
          <w:iCs/>
          <w:sz w:val="18"/>
          <w:szCs w:val="18"/>
          <w:lang w:val="en-GB" w:eastAsia="zh-TW"/>
        </w:rPr>
        <w:t xml:space="preserve">Bracco Imaging Spa, AREA Science Park, 34149 </w:t>
      </w:r>
      <w:proofErr w:type="spellStart"/>
      <w:r w:rsidR="00DD50BB" w:rsidRPr="00DD50BB">
        <w:rPr>
          <w:i/>
          <w:iCs/>
          <w:sz w:val="18"/>
          <w:szCs w:val="18"/>
          <w:lang w:val="en-GB" w:eastAsia="zh-TW"/>
        </w:rPr>
        <w:t>Basovizza</w:t>
      </w:r>
      <w:proofErr w:type="spellEnd"/>
      <w:r w:rsidR="00DD50BB" w:rsidRPr="00DD50BB">
        <w:rPr>
          <w:i/>
          <w:iCs/>
          <w:sz w:val="18"/>
          <w:szCs w:val="18"/>
          <w:lang w:val="en-GB" w:eastAsia="zh-TW"/>
        </w:rPr>
        <w:t xml:space="preserve"> (TS), Italy</w:t>
      </w:r>
    </w:p>
    <w:p w14:paraId="3A9A5B53" w14:textId="724B3731" w:rsidR="009F71C4" w:rsidRDefault="009F71C4" w:rsidP="00DD50BB">
      <w:pPr>
        <w:spacing w:after="120" w:line="240" w:lineRule="auto"/>
        <w:jc w:val="center"/>
        <w:rPr>
          <w:i/>
          <w:iCs/>
          <w:sz w:val="18"/>
          <w:szCs w:val="18"/>
          <w:lang w:val="en-GB" w:eastAsia="zh-TW"/>
        </w:rPr>
      </w:pPr>
      <w:r>
        <w:rPr>
          <w:i/>
          <w:iCs/>
          <w:sz w:val="18"/>
          <w:szCs w:val="18"/>
          <w:vertAlign w:val="superscript"/>
          <w:lang w:val="en-GB" w:eastAsia="zh-TW"/>
        </w:rPr>
        <w:t>2</w:t>
      </w:r>
      <w:r w:rsidR="00D92784">
        <w:rPr>
          <w:i/>
          <w:iCs/>
          <w:sz w:val="18"/>
          <w:szCs w:val="18"/>
          <w:vertAlign w:val="superscript"/>
          <w:lang w:val="en-GB" w:eastAsia="zh-TW"/>
        </w:rPr>
        <w:t xml:space="preserve"> </w:t>
      </w:r>
      <w:r w:rsidRPr="009F71C4">
        <w:rPr>
          <w:i/>
          <w:iCs/>
          <w:sz w:val="18"/>
          <w:szCs w:val="18"/>
          <w:lang w:val="en-GB" w:eastAsia="zh-TW"/>
        </w:rPr>
        <w:t xml:space="preserve">Advanced Imaging Research </w:t>
      </w:r>
      <w:proofErr w:type="spellStart"/>
      <w:r w:rsidRPr="009F71C4">
        <w:rPr>
          <w:i/>
          <w:iCs/>
          <w:sz w:val="18"/>
          <w:szCs w:val="18"/>
          <w:lang w:val="en-GB" w:eastAsia="zh-TW"/>
        </w:rPr>
        <w:t>Center</w:t>
      </w:r>
      <w:proofErr w:type="spellEnd"/>
      <w:r w:rsidRPr="009F71C4">
        <w:rPr>
          <w:i/>
          <w:iCs/>
          <w:sz w:val="18"/>
          <w:szCs w:val="18"/>
          <w:lang w:val="en-GB" w:eastAsia="zh-TW"/>
        </w:rPr>
        <w:t xml:space="preserve">, UTSW Medical </w:t>
      </w:r>
      <w:proofErr w:type="spellStart"/>
      <w:r w:rsidRPr="009F71C4">
        <w:rPr>
          <w:i/>
          <w:iCs/>
          <w:sz w:val="18"/>
          <w:szCs w:val="18"/>
          <w:lang w:val="en-GB" w:eastAsia="zh-TW"/>
        </w:rPr>
        <w:t>Center</w:t>
      </w:r>
      <w:proofErr w:type="spellEnd"/>
      <w:r w:rsidRPr="009F71C4">
        <w:rPr>
          <w:i/>
          <w:iCs/>
          <w:sz w:val="18"/>
          <w:szCs w:val="18"/>
          <w:lang w:val="en-GB" w:eastAsia="zh-TW"/>
        </w:rPr>
        <w:t>, Dallas, TX, United States</w:t>
      </w:r>
    </w:p>
    <w:p w14:paraId="37CB25E3" w14:textId="660F415B" w:rsidR="00D92784" w:rsidRPr="00D92784" w:rsidRDefault="00D92784" w:rsidP="00DD50BB">
      <w:pPr>
        <w:spacing w:after="120" w:line="240" w:lineRule="auto"/>
        <w:jc w:val="center"/>
        <w:rPr>
          <w:i/>
          <w:iCs/>
          <w:sz w:val="18"/>
          <w:szCs w:val="18"/>
          <w:lang w:val="en-GB" w:eastAsia="zh-TW"/>
        </w:rPr>
      </w:pPr>
      <w:r>
        <w:rPr>
          <w:i/>
          <w:iCs/>
          <w:sz w:val="18"/>
          <w:szCs w:val="18"/>
          <w:vertAlign w:val="superscript"/>
          <w:lang w:val="en-GB" w:eastAsia="zh-TW"/>
        </w:rPr>
        <w:t>3</w:t>
      </w:r>
      <w:r w:rsidRPr="00D92784">
        <w:t xml:space="preserve"> </w:t>
      </w:r>
      <w:r w:rsidRPr="00D92784">
        <w:rPr>
          <w:i/>
          <w:iCs/>
          <w:sz w:val="18"/>
          <w:szCs w:val="18"/>
          <w:lang w:val="en-GB" w:eastAsia="zh-TW"/>
        </w:rPr>
        <w:t xml:space="preserve">Department of Radiology, UTSW Medical </w:t>
      </w:r>
      <w:proofErr w:type="spellStart"/>
      <w:r w:rsidRPr="00D92784">
        <w:rPr>
          <w:i/>
          <w:iCs/>
          <w:sz w:val="18"/>
          <w:szCs w:val="18"/>
          <w:lang w:val="en-GB" w:eastAsia="zh-TW"/>
        </w:rPr>
        <w:t>Center</w:t>
      </w:r>
      <w:proofErr w:type="spellEnd"/>
      <w:r w:rsidRPr="00D92784">
        <w:rPr>
          <w:i/>
          <w:iCs/>
          <w:sz w:val="18"/>
          <w:szCs w:val="18"/>
          <w:lang w:val="en-GB" w:eastAsia="zh-TW"/>
        </w:rPr>
        <w:t>, Dallas, TX, United States</w:t>
      </w:r>
    </w:p>
    <w:p w14:paraId="37B8DD84" w14:textId="77777777" w:rsidR="002D6257" w:rsidRPr="0088592A" w:rsidRDefault="002D6257" w:rsidP="00DD50BB">
      <w:pPr>
        <w:spacing w:after="120" w:line="240" w:lineRule="auto"/>
        <w:jc w:val="center"/>
        <w:rPr>
          <w:rFonts w:cstheme="minorHAnsi"/>
          <w:i/>
          <w:iCs/>
          <w:sz w:val="20"/>
          <w:szCs w:val="20"/>
          <w:lang w:val="en-GB"/>
        </w:rPr>
      </w:pPr>
    </w:p>
    <w:p w14:paraId="096EC728" w14:textId="759026EF" w:rsidR="008B1053" w:rsidRPr="007D7407" w:rsidRDefault="0088592A" w:rsidP="0088592A">
      <w:pPr>
        <w:jc w:val="both"/>
        <w:rPr>
          <w:rFonts w:cstheme="minorHAnsi"/>
          <w:sz w:val="20"/>
          <w:szCs w:val="20"/>
          <w:lang w:val="en-US" w:eastAsia="it-IT"/>
        </w:rPr>
      </w:pPr>
      <w:r w:rsidRPr="009765AE">
        <w:rPr>
          <w:rFonts w:cstheme="minorHAnsi"/>
          <w:sz w:val="20"/>
          <w:szCs w:val="20"/>
          <w:lang w:val="en-US" w:eastAsia="it-IT"/>
        </w:rPr>
        <w:t xml:space="preserve">Magnetic resonance </w:t>
      </w:r>
      <w:r w:rsidR="00C62A76">
        <w:rPr>
          <w:rFonts w:cstheme="minorHAnsi"/>
          <w:sz w:val="20"/>
          <w:szCs w:val="20"/>
          <w:lang w:val="en-US" w:eastAsia="it-IT"/>
        </w:rPr>
        <w:t>imaging</w:t>
      </w:r>
      <w:r w:rsidRPr="009765AE">
        <w:rPr>
          <w:rFonts w:cstheme="minorHAnsi"/>
          <w:sz w:val="20"/>
          <w:szCs w:val="20"/>
          <w:lang w:val="en-US" w:eastAsia="it-IT"/>
        </w:rPr>
        <w:t xml:space="preserve"> can be achieved through the chemical exchange saturation transfer (CEST) mechanism, which requires two proton pools with distinct NMR chemical shifts. CEST agents contain exchangeable protons, such as amide, amine, or hydroxyl groups, whose resonance frequencies are sufficiently </w:t>
      </w:r>
      <w:r w:rsidR="002358AC">
        <w:rPr>
          <w:rFonts w:cstheme="minorHAnsi"/>
          <w:sz w:val="20"/>
          <w:szCs w:val="20"/>
          <w:lang w:val="en-US" w:eastAsia="it-IT"/>
        </w:rPr>
        <w:t xml:space="preserve">separated </w:t>
      </w:r>
      <w:r w:rsidRPr="009765AE">
        <w:rPr>
          <w:rFonts w:cstheme="minorHAnsi"/>
          <w:sz w:val="20"/>
          <w:szCs w:val="20"/>
          <w:lang w:val="en-US" w:eastAsia="it-IT"/>
        </w:rPr>
        <w:t xml:space="preserve">from water to enable selective RF irradiation. When a frequency-specific saturation pulse is applied at the </w:t>
      </w:r>
      <w:r w:rsidRPr="007D7407">
        <w:rPr>
          <w:rFonts w:cstheme="minorHAnsi"/>
          <w:sz w:val="20"/>
          <w:szCs w:val="20"/>
          <w:lang w:val="en-US" w:eastAsia="it-IT"/>
        </w:rPr>
        <w:t>resonance of the small pool under slow exchange conditions (</w:t>
      </w:r>
      <w:r w:rsidRPr="007D7407">
        <w:rPr>
          <w:rFonts w:cstheme="minorHAnsi"/>
          <w:i/>
          <w:sz w:val="20"/>
          <w:szCs w:val="20"/>
          <w:lang w:val="en-US" w:eastAsia="it-IT"/>
        </w:rPr>
        <w:t>k</w:t>
      </w:r>
      <w:r w:rsidRPr="007D7407">
        <w:rPr>
          <w:rFonts w:cstheme="minorHAnsi"/>
          <w:sz w:val="20"/>
          <w:szCs w:val="20"/>
          <w:vertAlign w:val="subscript"/>
          <w:lang w:val="en-US" w:eastAsia="it-IT"/>
        </w:rPr>
        <w:t>ex</w:t>
      </w:r>
      <w:r w:rsidRPr="007D7407">
        <w:rPr>
          <w:rFonts w:cstheme="minorHAnsi"/>
          <w:sz w:val="20"/>
          <w:szCs w:val="20"/>
          <w:lang w:val="en-US" w:eastAsia="it-IT"/>
        </w:rPr>
        <w:t xml:space="preserve"> ≤ </w:t>
      </w:r>
      <w:proofErr w:type="spellStart"/>
      <w:r w:rsidRPr="007D7407">
        <w:rPr>
          <w:rFonts w:cstheme="minorHAnsi"/>
          <w:sz w:val="20"/>
          <w:szCs w:val="20"/>
          <w:lang w:val="en-US" w:eastAsia="it-IT"/>
        </w:rPr>
        <w:t>Δ</w:t>
      </w:r>
      <w:r w:rsidRPr="007D7407">
        <w:rPr>
          <w:rFonts w:cstheme="minorHAnsi"/>
          <w:i/>
          <w:sz w:val="20"/>
          <w:szCs w:val="20"/>
          <w:lang w:val="en-US" w:eastAsia="it-IT"/>
        </w:rPr>
        <w:t>ω</w:t>
      </w:r>
      <w:proofErr w:type="spellEnd"/>
      <w:r w:rsidRPr="007D7407">
        <w:rPr>
          <w:rFonts w:cstheme="minorHAnsi"/>
          <w:sz w:val="20"/>
          <w:szCs w:val="20"/>
          <w:lang w:val="en-US" w:eastAsia="it-IT"/>
        </w:rPr>
        <w:t>), saturated spins transfer to water protons</w:t>
      </w:r>
      <w:r w:rsidR="00E01124" w:rsidRPr="007D7407">
        <w:rPr>
          <w:rFonts w:cstheme="minorHAnsi"/>
          <w:sz w:val="20"/>
          <w:szCs w:val="20"/>
          <w:lang w:val="en-US" w:eastAsia="it-IT"/>
        </w:rPr>
        <w:t xml:space="preserve"> via chemical exchange processes by</w:t>
      </w:r>
      <w:r w:rsidRPr="007D7407">
        <w:rPr>
          <w:rFonts w:cstheme="minorHAnsi"/>
          <w:sz w:val="20"/>
          <w:szCs w:val="20"/>
          <w:lang w:val="en-US" w:eastAsia="it-IT"/>
        </w:rPr>
        <w:t xml:space="preserve"> reducing the bulk water signal and producing negative contrast. Unlike traditional MRI contrast agents that depend on direct relaxation effects, CEST monitors the large bulk water signal (concentration ~40–50 mM in vivo), providing enhanced sensitivity and the ability to detect </w:t>
      </w:r>
      <w:r w:rsidR="00E01124" w:rsidRPr="007D7407">
        <w:rPr>
          <w:rFonts w:cstheme="minorHAnsi"/>
          <w:sz w:val="20"/>
          <w:szCs w:val="20"/>
          <w:lang w:val="en-US" w:eastAsia="it-IT"/>
        </w:rPr>
        <w:t xml:space="preserve">the </w:t>
      </w:r>
      <w:proofErr w:type="spellStart"/>
      <w:r w:rsidR="00E01124" w:rsidRPr="007D7407">
        <w:rPr>
          <w:rFonts w:cstheme="minorHAnsi"/>
          <w:sz w:val="20"/>
          <w:szCs w:val="20"/>
          <w:lang w:val="en-US" w:eastAsia="it-IT"/>
        </w:rPr>
        <w:t>physico</w:t>
      </w:r>
      <w:proofErr w:type="spellEnd"/>
      <w:r w:rsidR="00E01124" w:rsidRPr="007D7407">
        <w:rPr>
          <w:rFonts w:cstheme="minorHAnsi"/>
          <w:sz w:val="20"/>
          <w:szCs w:val="20"/>
          <w:lang w:val="en-US" w:eastAsia="it-IT"/>
        </w:rPr>
        <w:t>-chemical properties of their environment</w:t>
      </w:r>
      <w:r w:rsidRPr="007D7407">
        <w:rPr>
          <w:rFonts w:cstheme="minorHAnsi"/>
          <w:sz w:val="20"/>
          <w:szCs w:val="20"/>
          <w:lang w:val="en-US" w:eastAsia="it-IT"/>
        </w:rPr>
        <w:t>, such as pH and temperature</w:t>
      </w:r>
      <w:r w:rsidR="00D837ED" w:rsidRPr="007D7407">
        <w:rPr>
          <w:rFonts w:cstheme="minorHAnsi"/>
          <w:sz w:val="20"/>
          <w:szCs w:val="20"/>
          <w:lang w:val="en-US" w:eastAsia="it-IT"/>
        </w:rPr>
        <w:fldChar w:fldCharType="begin"/>
      </w:r>
      <w:r w:rsidR="00D837ED" w:rsidRPr="007D7407">
        <w:rPr>
          <w:rFonts w:cstheme="minorHAnsi"/>
          <w:sz w:val="20"/>
          <w:szCs w:val="20"/>
          <w:lang w:val="en-US" w:eastAsia="it-IT"/>
        </w:rPr>
        <w:instrText xml:space="preserve"> ADDIN ZOTERO_ITEM CSL_CITATION {"citationID":"NDo3YRCG","properties":{"formattedCitation":"\\super [1]\\nosupersub{}","plainCitation":"[1]","noteIndex":0},"citationItems":[{"id":86,"uris":["http://zotero.org/users/local/cqA3uF0r/items/H524QDAL"],"itemData":{"id":86,"type":"article-journal","abstract":"Chemical exchange saturation transfer (CEST) has emerged as a novel MRI contrast mechanism that is well suited for molecular imaging studies. This new mechanism can be used to detect small amounts of contrast agent through the saturation of rapidly exchanging protons on these agents, allowing a wide range of applications. CEST technology has a number of indispensable features, such as the possibility of simultaneous detection of multiple ‘colors’ of agents and of changes in their environment (e.g. pH, metabolites, etc.) through MR contrast. Currently, a large number of new imaging schemes and techniques are being developed to improve the temporal resolution and specificity and to correct for the influence of\n              B\n              0\n              and\n              B\n              1\n              inhomogeneities. In this review, the techniques developed over the last decade are summarized with the different imaging strategies and post‐processing methods discussed from a practical point of view, including the description of their relative merits for the detection of CEST agents. The goal of the present work is to provide the reader with a fundamental understanding of the techniques developed, and to provide guidance to help refine future applications of this technology.\n            \n            \n              This review is organized into three main sections (‘Basics of CEST contrast’, ‘Implementation’ and ‘Post‐processing’), and also includes a brief Introduction and Summary. The ‘Basics of CEST contrast’ section contains a description of the relevant background theory for saturation transfer and frequency‐labeled transfer, and a brief discussion of methods to determine exchange rates. The ‘Implementation’ section contains a description of the practical considerations in conducting CEST MRI studies, including the choice of magnetic field, pulse sequence, saturation pulse, imaging scheme, and strategies to separate magnetization transfer and CEST. The ‘Post‐processing’ section contains a description of the typical image processing employed for\n              B\n              0\n              /\n              B\n              1\n              correction,\n              Z\n              ‐spectral interpolation, frequency‐selective detection and improvement of CEST contrast maps. Copyright © 2013 John Wiley &amp; Sons, Ltd.","container-title":"NMR in Biomedicine","DOI":"10.1002/nbm.2899","ISSN":"0952-3480, 1099-1492","issue":"7","journalAbbreviation":"NMR in Biomedicine","language":"en","license":"http://onlinelibrary.wiley.com/termsAndConditions#vor","page":"810-828","source":"DOI.org (Crossref)","title":"Nuts and bolts of chemical exchange saturation transfer MRI","volume":"26","author":[{"family":"Liu","given":"Guanshu"},{"family":"Song","given":"Xiaolei"},{"family":"Chan","given":"Kannie W. Y."},{"family":"McMahon","given":"Michael T."}],"issued":{"date-parts":[["2013",7]]}}}],"schema":"https://github.com/citation-style-language/schema/raw/master/csl-citation.json"} </w:instrText>
      </w:r>
      <w:r w:rsidR="00D837ED" w:rsidRPr="007D7407">
        <w:rPr>
          <w:rFonts w:cstheme="minorHAnsi"/>
          <w:sz w:val="20"/>
          <w:szCs w:val="20"/>
          <w:lang w:val="en-US" w:eastAsia="it-IT"/>
        </w:rPr>
        <w:fldChar w:fldCharType="separate"/>
      </w:r>
      <w:r w:rsidR="00D837ED" w:rsidRPr="007D7407">
        <w:rPr>
          <w:rFonts w:cstheme="minorHAnsi"/>
          <w:sz w:val="20"/>
          <w:szCs w:val="20"/>
          <w:vertAlign w:val="superscript"/>
        </w:rPr>
        <w:t>[1]</w:t>
      </w:r>
      <w:r w:rsidR="00D837ED" w:rsidRPr="007D7407">
        <w:rPr>
          <w:rFonts w:cstheme="minorHAnsi"/>
          <w:sz w:val="20"/>
          <w:szCs w:val="20"/>
          <w:lang w:val="en-US" w:eastAsia="it-IT"/>
        </w:rPr>
        <w:fldChar w:fldCharType="end"/>
      </w:r>
      <w:r w:rsidRPr="007D7407">
        <w:rPr>
          <w:rFonts w:cstheme="minorHAnsi"/>
          <w:sz w:val="20"/>
          <w:szCs w:val="20"/>
          <w:lang w:val="en-US" w:eastAsia="it-IT"/>
        </w:rPr>
        <w:t xml:space="preserve">. </w:t>
      </w:r>
    </w:p>
    <w:p w14:paraId="447907F0" w14:textId="0445B1EF" w:rsidR="00E65A1C" w:rsidRPr="009765AE" w:rsidRDefault="00003352" w:rsidP="003E382F">
      <w:pPr>
        <w:spacing w:after="60" w:line="240" w:lineRule="auto"/>
        <w:jc w:val="both"/>
        <w:rPr>
          <w:rFonts w:cstheme="minorHAnsi"/>
          <w:sz w:val="20"/>
          <w:szCs w:val="20"/>
          <w:lang w:val="en-US"/>
        </w:rPr>
      </w:pPr>
      <w:r w:rsidRPr="007D7407">
        <w:rPr>
          <w:rFonts w:cstheme="minorHAnsi"/>
          <w:sz w:val="20"/>
          <w:szCs w:val="20"/>
          <w:lang w:val="en-US"/>
        </w:rPr>
        <w:t>In diamagnetic systems, –NH and –OH exchangeable protons exhibit limited chemical shift separation (</w:t>
      </w:r>
      <w:proofErr w:type="spellStart"/>
      <w:r w:rsidRPr="007D7407">
        <w:rPr>
          <w:rFonts w:cstheme="minorHAnsi"/>
          <w:sz w:val="20"/>
          <w:szCs w:val="20"/>
          <w:lang w:val="en-US"/>
        </w:rPr>
        <w:t>Δ</w:t>
      </w:r>
      <w:r w:rsidRPr="007D7407">
        <w:rPr>
          <w:rFonts w:cstheme="minorHAnsi"/>
          <w:i/>
          <w:sz w:val="20"/>
          <w:szCs w:val="20"/>
          <w:lang w:val="en-US"/>
        </w:rPr>
        <w:t>ω</w:t>
      </w:r>
      <w:proofErr w:type="spellEnd"/>
      <w:r w:rsidRPr="007D7407">
        <w:rPr>
          <w:rFonts w:cstheme="minorHAnsi"/>
          <w:sz w:val="20"/>
          <w:szCs w:val="20"/>
          <w:lang w:val="en-US"/>
        </w:rPr>
        <w:t xml:space="preserve"> = 1–4 ppm) and often overlap with endogenous labile proton pools—making selective irradiation challenging. </w:t>
      </w:r>
      <w:r w:rsidR="00B22B6A" w:rsidRPr="007D7407">
        <w:rPr>
          <w:rFonts w:cstheme="minorHAnsi"/>
          <w:sz w:val="20"/>
          <w:szCs w:val="20"/>
          <w:lang w:val="en-US"/>
        </w:rPr>
        <w:t>Moreover,</w:t>
      </w:r>
      <w:r w:rsidR="00E01124" w:rsidRPr="007D7407">
        <w:rPr>
          <w:rFonts w:cstheme="minorHAnsi"/>
          <w:sz w:val="20"/>
          <w:szCs w:val="20"/>
          <w:lang w:val="en-US"/>
        </w:rPr>
        <w:t xml:space="preserve"> </w:t>
      </w:r>
      <w:r w:rsidR="00B22B6A" w:rsidRPr="007D7407">
        <w:rPr>
          <w:rFonts w:cstheme="minorHAnsi"/>
          <w:sz w:val="20"/>
          <w:szCs w:val="20"/>
          <w:lang w:val="en-US"/>
        </w:rPr>
        <w:t>b</w:t>
      </w:r>
      <w:r w:rsidRPr="007D7407">
        <w:rPr>
          <w:rFonts w:cstheme="minorHAnsi"/>
          <w:sz w:val="20"/>
          <w:szCs w:val="20"/>
          <w:lang w:val="en-US"/>
        </w:rPr>
        <w:t>iological tissues produce a broad magnetization transfer (MT) background (±100 ppm), with an asymmetric component near water that complicates</w:t>
      </w:r>
      <w:r w:rsidR="00E01124" w:rsidRPr="007D7407">
        <w:rPr>
          <w:rFonts w:cstheme="minorHAnsi"/>
          <w:sz w:val="20"/>
          <w:szCs w:val="20"/>
          <w:lang w:val="en-US"/>
        </w:rPr>
        <w:t xml:space="preserve"> the quantification of</w:t>
      </w:r>
      <w:r w:rsidRPr="007D7407">
        <w:rPr>
          <w:rFonts w:cstheme="minorHAnsi"/>
          <w:sz w:val="20"/>
          <w:szCs w:val="20"/>
          <w:lang w:val="en-US"/>
        </w:rPr>
        <w:t xml:space="preserve"> CEST. Since this asymmetry decreases beyond 10–12 ppm, agents with highly shifted exchangeable protons (</w:t>
      </w:r>
      <w:proofErr w:type="spellStart"/>
      <w:r w:rsidRPr="007D7407">
        <w:rPr>
          <w:rFonts w:cstheme="minorHAnsi"/>
          <w:sz w:val="20"/>
          <w:szCs w:val="20"/>
          <w:lang w:val="en-US"/>
        </w:rPr>
        <w:t>Δ</w:t>
      </w:r>
      <w:r w:rsidRPr="007D7407">
        <w:rPr>
          <w:rFonts w:cstheme="minorHAnsi"/>
          <w:i/>
          <w:sz w:val="20"/>
          <w:szCs w:val="20"/>
          <w:lang w:val="en-US"/>
        </w:rPr>
        <w:t>ω</w:t>
      </w:r>
      <w:proofErr w:type="spellEnd"/>
      <w:r w:rsidRPr="007D7407">
        <w:rPr>
          <w:rFonts w:cstheme="minorHAnsi"/>
          <w:sz w:val="20"/>
          <w:szCs w:val="20"/>
          <w:lang w:val="en-US"/>
        </w:rPr>
        <w:t xml:space="preserve"> &gt; 12 ppm) offer better selectivity and less MT interference</w:t>
      </w:r>
      <w:r w:rsidR="00D837ED" w:rsidRPr="007D7407">
        <w:rPr>
          <w:rFonts w:cstheme="minorHAnsi"/>
          <w:sz w:val="20"/>
          <w:szCs w:val="20"/>
          <w:lang w:val="en-US"/>
        </w:rPr>
        <w:fldChar w:fldCharType="begin"/>
      </w:r>
      <w:r w:rsidR="00D837ED" w:rsidRPr="007D7407">
        <w:rPr>
          <w:rFonts w:cstheme="minorHAnsi"/>
          <w:sz w:val="20"/>
          <w:szCs w:val="20"/>
          <w:lang w:val="en-US"/>
        </w:rPr>
        <w:instrText xml:space="preserve"> ADDIN ZOTERO_ITEM CSL_CITATION {"citationID":"L3UEvS5W","properties":{"formattedCitation":"\\super [2]\\nosupersub{}","plainCitation":"[2]","noteIndex":0},"citationItems":[{"id":124,"uris":["http://zotero.org/users/local/cqA3uF0r/items/2LKI53NT"],"itemData":{"id":124,"type":"article-journal","container-title":"Journal of Magnetic Resonance","DOI":"10.1016/j.jmr.2012.11.024","ISSN":"10907807","journalAbbreviation":"Journal of Magnetic Resonance","language":"en","license":"https://www.elsevier.com/tdm/userlicense/1.0/","page":"155-172","source":"DOI.org (Crossref)","title":"CEST: From basic principles to applications, challenges and opportunities","title-short":"CEST","volume":"229","author":[{"family":"Vinogradov","given":"Elena"},{"family":"Sherry","given":"A. Dean"},{"family":"Lenkinski","given":"Robert E."}],"issued":{"date-parts":[["2013",4]]}}}],"schema":"https://github.com/citation-style-language/schema/raw/master/csl-citation.json"} </w:instrText>
      </w:r>
      <w:r w:rsidR="00D837ED" w:rsidRPr="007D7407">
        <w:rPr>
          <w:rFonts w:cstheme="minorHAnsi"/>
          <w:sz w:val="20"/>
          <w:szCs w:val="20"/>
          <w:lang w:val="en-US"/>
        </w:rPr>
        <w:fldChar w:fldCharType="separate"/>
      </w:r>
      <w:r w:rsidR="00D837ED" w:rsidRPr="007D7407">
        <w:rPr>
          <w:rFonts w:cstheme="minorHAnsi"/>
          <w:sz w:val="20"/>
          <w:szCs w:val="20"/>
          <w:vertAlign w:val="superscript"/>
        </w:rPr>
        <w:t>[2]</w:t>
      </w:r>
      <w:r w:rsidR="00D837ED" w:rsidRPr="007D7407">
        <w:rPr>
          <w:rFonts w:cstheme="minorHAnsi"/>
          <w:sz w:val="20"/>
          <w:szCs w:val="20"/>
          <w:lang w:val="en-US"/>
        </w:rPr>
        <w:fldChar w:fldCharType="end"/>
      </w:r>
      <w:r w:rsidRPr="007D7407">
        <w:rPr>
          <w:rFonts w:cstheme="minorHAnsi"/>
          <w:sz w:val="20"/>
          <w:szCs w:val="20"/>
          <w:lang w:val="en-US"/>
        </w:rPr>
        <w:t xml:space="preserve">. Although </w:t>
      </w:r>
      <w:proofErr w:type="spellStart"/>
      <w:r w:rsidRPr="007D7407">
        <w:rPr>
          <w:rFonts w:cstheme="minorHAnsi"/>
          <w:sz w:val="20"/>
          <w:szCs w:val="20"/>
          <w:lang w:val="en-US"/>
        </w:rPr>
        <w:t>paraCEST</w:t>
      </w:r>
      <w:proofErr w:type="spellEnd"/>
      <w:r w:rsidRPr="007D7407">
        <w:rPr>
          <w:rFonts w:cstheme="minorHAnsi"/>
          <w:sz w:val="20"/>
          <w:szCs w:val="20"/>
          <w:lang w:val="en-US"/>
        </w:rPr>
        <w:t xml:space="preserve"> agents can achieve such </w:t>
      </w:r>
      <w:r w:rsidR="00E01124" w:rsidRPr="007D7407">
        <w:rPr>
          <w:rFonts w:cstheme="minorHAnsi"/>
          <w:sz w:val="20"/>
          <w:szCs w:val="20"/>
          <w:lang w:val="en-US"/>
        </w:rPr>
        <w:t xml:space="preserve">a large </w:t>
      </w:r>
      <w:r w:rsidRPr="007D7407">
        <w:rPr>
          <w:rFonts w:cstheme="minorHAnsi"/>
          <w:sz w:val="20"/>
          <w:szCs w:val="20"/>
          <w:lang w:val="en-US"/>
        </w:rPr>
        <w:t>shifts,</w:t>
      </w:r>
      <w:r w:rsidRPr="009765AE">
        <w:rPr>
          <w:rFonts w:cstheme="minorHAnsi"/>
          <w:sz w:val="20"/>
          <w:szCs w:val="20"/>
          <w:lang w:val="en-US"/>
        </w:rPr>
        <w:t xml:space="preserve"> metal-based compounds are </w:t>
      </w:r>
      <w:r w:rsidR="005E2AA2" w:rsidRPr="005E2AA2">
        <w:rPr>
          <w:rFonts w:cstheme="minorHAnsi"/>
          <w:sz w:val="20"/>
          <w:szCs w:val="20"/>
          <w:lang w:val="en-US"/>
        </w:rPr>
        <w:t>not viable at clinically relevant CEST imaging doses</w:t>
      </w:r>
      <w:r w:rsidR="00D837ED" w:rsidRPr="009765AE">
        <w:rPr>
          <w:rFonts w:cstheme="minorHAnsi"/>
          <w:sz w:val="20"/>
          <w:szCs w:val="20"/>
          <w:lang w:val="en-US"/>
        </w:rPr>
        <w:fldChar w:fldCharType="begin"/>
      </w:r>
      <w:r w:rsidR="00D837ED" w:rsidRPr="009765AE">
        <w:rPr>
          <w:rFonts w:cstheme="minorHAnsi"/>
          <w:sz w:val="20"/>
          <w:szCs w:val="20"/>
          <w:lang w:val="en-US"/>
        </w:rPr>
        <w:instrText xml:space="preserve"> ADDIN ZOTERO_ITEM CSL_CITATION {"citationID":"wRQvvT8G","properties":{"formattedCitation":"\\super [3]\\nosupersub{}","plainCitation":"[3]","noteIndex":0},"citationItems":[{"id":93,"uris":["http://zotero.org/users/local/cqA3uF0r/items/D75JFLXH"],"itemData":{"id":93,"type":"article-journal","container-title":"Chemical Reviews","DOI":"10.1021/cr900284a","ISSN":"0009-2665, 1520-6890","issue":"5","journalAbbreviation":"Chem. Rev.","language":"en","page":"2960-3018","source":"DOI.org (Crossref)","title":"Alternatives to Gadolinium-Based Metal Chelates for Magnetic Resonance Imaging","volume":"110","author":[{"family":"Viswanathan","given":"Subha"},{"family":"Kovacs","given":"Zoltan"},{"family":"Green","given":"Kayla N."},{"family":"Ratnakar","given":"S. James"},{"family":"Sherry","given":"A. Dean"}],"issued":{"date-parts":[["2010",5,12]]}}}],"schema":"https://github.com/citation-style-language/schema/raw/master/csl-citation.json"} </w:instrText>
      </w:r>
      <w:r w:rsidR="00D837ED" w:rsidRPr="009765AE">
        <w:rPr>
          <w:rFonts w:cstheme="minorHAnsi"/>
          <w:sz w:val="20"/>
          <w:szCs w:val="20"/>
          <w:lang w:val="en-US"/>
        </w:rPr>
        <w:fldChar w:fldCharType="separate"/>
      </w:r>
      <w:r w:rsidR="00D837ED" w:rsidRPr="009765AE">
        <w:rPr>
          <w:rFonts w:cstheme="minorHAnsi"/>
          <w:sz w:val="20"/>
          <w:szCs w:val="20"/>
          <w:vertAlign w:val="superscript"/>
        </w:rPr>
        <w:t>[3]</w:t>
      </w:r>
      <w:r w:rsidR="00D837ED" w:rsidRPr="009765AE">
        <w:rPr>
          <w:rFonts w:cstheme="minorHAnsi"/>
          <w:sz w:val="20"/>
          <w:szCs w:val="20"/>
          <w:lang w:val="en-US"/>
        </w:rPr>
        <w:fldChar w:fldCharType="end"/>
      </w:r>
      <w:r w:rsidRPr="009765AE">
        <w:rPr>
          <w:rFonts w:cstheme="minorHAnsi"/>
          <w:sz w:val="20"/>
          <w:szCs w:val="20"/>
          <w:lang w:val="en-US"/>
        </w:rPr>
        <w:t xml:space="preserve">. This project introduces a novel </w:t>
      </w:r>
      <w:proofErr w:type="spellStart"/>
      <w:r w:rsidRPr="009765AE">
        <w:rPr>
          <w:rFonts w:cstheme="minorHAnsi"/>
          <w:sz w:val="20"/>
          <w:szCs w:val="20"/>
          <w:lang w:val="en-US"/>
        </w:rPr>
        <w:t>DiaCest</w:t>
      </w:r>
      <w:proofErr w:type="spellEnd"/>
      <w:r w:rsidRPr="009765AE">
        <w:rPr>
          <w:rFonts w:cstheme="minorHAnsi"/>
          <w:sz w:val="20"/>
          <w:szCs w:val="20"/>
          <w:lang w:val="en-US"/>
        </w:rPr>
        <w:t xml:space="preserve"> agent: NDTA, which combines a large </w:t>
      </w:r>
      <w:proofErr w:type="spellStart"/>
      <w:r w:rsidRPr="009765AE">
        <w:rPr>
          <w:rFonts w:cstheme="minorHAnsi"/>
          <w:sz w:val="20"/>
          <w:szCs w:val="20"/>
          <w:lang w:val="en-US"/>
        </w:rPr>
        <w:t>Δ</w:t>
      </w:r>
      <w:r w:rsidRPr="00E01124">
        <w:rPr>
          <w:rFonts w:cstheme="minorHAnsi"/>
          <w:i/>
          <w:sz w:val="20"/>
          <w:szCs w:val="20"/>
          <w:lang w:val="en-US"/>
        </w:rPr>
        <w:t>ω</w:t>
      </w:r>
      <w:proofErr w:type="spellEnd"/>
      <w:r w:rsidRPr="009765AE">
        <w:rPr>
          <w:rFonts w:cstheme="minorHAnsi"/>
          <w:sz w:val="20"/>
          <w:szCs w:val="20"/>
          <w:lang w:val="en-US"/>
        </w:rPr>
        <w:t xml:space="preserve"> with near-optimal </w:t>
      </w:r>
      <w:r w:rsidRPr="00E01124">
        <w:rPr>
          <w:rFonts w:cstheme="minorHAnsi"/>
          <w:i/>
          <w:sz w:val="20"/>
          <w:szCs w:val="20"/>
          <w:lang w:val="en-US"/>
        </w:rPr>
        <w:t>k</w:t>
      </w:r>
      <w:r w:rsidRPr="009765AE">
        <w:rPr>
          <w:rFonts w:cstheme="minorHAnsi"/>
          <w:sz w:val="20"/>
          <w:szCs w:val="20"/>
          <w:vertAlign w:val="subscript"/>
          <w:lang w:val="en-US"/>
        </w:rPr>
        <w:t>ex</w:t>
      </w:r>
      <w:r w:rsidRPr="009765AE">
        <w:rPr>
          <w:rFonts w:cstheme="minorHAnsi"/>
          <w:sz w:val="20"/>
          <w:szCs w:val="20"/>
          <w:lang w:val="en-US"/>
        </w:rPr>
        <w:t xml:space="preserve"> for in vivo imaging at clinical 3T</w:t>
      </w:r>
      <w:r w:rsidR="00E01124">
        <w:rPr>
          <w:rFonts w:cstheme="minorHAnsi"/>
          <w:sz w:val="20"/>
          <w:szCs w:val="20"/>
          <w:lang w:val="en-US"/>
        </w:rPr>
        <w:t xml:space="preserve"> magnetic field</w:t>
      </w:r>
      <w:r w:rsidRPr="009765AE">
        <w:rPr>
          <w:rFonts w:cstheme="minorHAnsi"/>
          <w:sz w:val="20"/>
          <w:szCs w:val="20"/>
          <w:lang w:val="en-US"/>
        </w:rPr>
        <w:t>.</w:t>
      </w:r>
    </w:p>
    <w:p w14:paraId="2DE0618B" w14:textId="00C7D400" w:rsidR="007B7974" w:rsidRPr="009765AE" w:rsidRDefault="00462ED7" w:rsidP="007B7974">
      <w:pPr>
        <w:jc w:val="both"/>
        <w:rPr>
          <w:rFonts w:cstheme="minorHAnsi"/>
          <w:sz w:val="20"/>
          <w:szCs w:val="20"/>
        </w:rPr>
      </w:pPr>
      <w:r w:rsidRPr="009765AE">
        <w:rPr>
          <w:rFonts w:cstheme="minorHAnsi"/>
          <w:sz w:val="20"/>
          <w:szCs w:val="20"/>
          <w:lang w:val="en-US"/>
        </w:rPr>
        <w:t xml:space="preserve">1,8-Diaminonaphthalene </w:t>
      </w:r>
      <w:proofErr w:type="spellStart"/>
      <w:r w:rsidRPr="009765AE">
        <w:rPr>
          <w:rFonts w:cstheme="minorHAnsi"/>
          <w:sz w:val="20"/>
          <w:szCs w:val="20"/>
          <w:lang w:val="en-US"/>
        </w:rPr>
        <w:t>tetraacetic</w:t>
      </w:r>
      <w:proofErr w:type="spellEnd"/>
      <w:r w:rsidRPr="009765AE">
        <w:rPr>
          <w:rFonts w:cstheme="minorHAnsi"/>
          <w:sz w:val="20"/>
          <w:szCs w:val="20"/>
          <w:lang w:val="en-US"/>
        </w:rPr>
        <w:t xml:space="preserve"> </w:t>
      </w:r>
      <w:r w:rsidR="00D837ED" w:rsidRPr="009765AE">
        <w:rPr>
          <w:rFonts w:cstheme="minorHAnsi"/>
          <w:sz w:val="20"/>
          <w:szCs w:val="20"/>
          <w:lang w:val="en-US"/>
        </w:rPr>
        <w:t>acid (</w:t>
      </w:r>
      <w:r w:rsidRPr="009765AE">
        <w:rPr>
          <w:rFonts w:cstheme="minorHAnsi"/>
          <w:sz w:val="20"/>
          <w:szCs w:val="20"/>
          <w:lang w:val="en-US"/>
        </w:rPr>
        <w:t xml:space="preserve">NDTA) was synthesized </w:t>
      </w:r>
      <w:r w:rsidRPr="009765AE">
        <w:rPr>
          <w:rFonts w:cstheme="minorHAnsi"/>
          <w:sz w:val="20"/>
          <w:szCs w:val="20"/>
        </w:rPr>
        <w:t xml:space="preserve">from commercial precursors (1,8-diaminonaphthalene). The signal of the highly shifted labile proton was easily observable in water at around 17.2 ppm </w:t>
      </w:r>
      <w:r w:rsidR="00D837ED" w:rsidRPr="009765AE">
        <w:rPr>
          <w:rFonts w:cstheme="minorHAnsi"/>
          <w:sz w:val="20"/>
          <w:szCs w:val="20"/>
        </w:rPr>
        <w:t>(Figure 1).</w:t>
      </w:r>
    </w:p>
    <w:p w14:paraId="385D2AD6" w14:textId="77777777" w:rsidR="00D837ED" w:rsidRPr="009765AE" w:rsidRDefault="007B7974" w:rsidP="00D837ED">
      <w:pPr>
        <w:keepNext/>
        <w:jc w:val="center"/>
        <w:rPr>
          <w:rFonts w:cstheme="minorHAnsi"/>
          <w:sz w:val="20"/>
          <w:szCs w:val="20"/>
        </w:rPr>
      </w:pPr>
      <w:r w:rsidRPr="009765AE">
        <w:rPr>
          <w:rFonts w:cstheme="minorHAnsi"/>
          <w:noProof/>
          <w:sz w:val="20"/>
          <w:szCs w:val="20"/>
        </w:rPr>
        <w:drawing>
          <wp:inline distT="0" distB="0" distL="0" distR="0" wp14:anchorId="7346E2EA" wp14:editId="4B5F5CD9">
            <wp:extent cx="4059771" cy="2872740"/>
            <wp:effectExtent l="0" t="0" r="0" b="3810"/>
            <wp:docPr id="184318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8360" name=""/>
                    <pic:cNvPicPr/>
                  </pic:nvPicPr>
                  <pic:blipFill>
                    <a:blip r:embed="rId7"/>
                    <a:stretch>
                      <a:fillRect/>
                    </a:stretch>
                  </pic:blipFill>
                  <pic:spPr>
                    <a:xfrm>
                      <a:off x="0" y="0"/>
                      <a:ext cx="4078282" cy="2885839"/>
                    </a:xfrm>
                    <a:prstGeom prst="rect">
                      <a:avLst/>
                    </a:prstGeom>
                  </pic:spPr>
                </pic:pic>
              </a:graphicData>
            </a:graphic>
          </wp:inline>
        </w:drawing>
      </w:r>
    </w:p>
    <w:p w14:paraId="783112CC" w14:textId="6E8B9261" w:rsidR="007B7974" w:rsidRPr="009765AE" w:rsidRDefault="00D837ED" w:rsidP="00D837ED">
      <w:pPr>
        <w:pStyle w:val="Caption"/>
        <w:jc w:val="center"/>
        <w:rPr>
          <w:rFonts w:asciiTheme="minorHAnsi" w:hAnsiTheme="minorHAnsi" w:cstheme="minorHAnsi"/>
          <w:b w:val="0"/>
          <w:bCs w:val="0"/>
        </w:rPr>
      </w:pPr>
      <w:r w:rsidRPr="009765AE">
        <w:rPr>
          <w:rFonts w:asciiTheme="minorHAnsi" w:hAnsiTheme="minorHAnsi" w:cstheme="minorHAnsi"/>
        </w:rPr>
        <w:t xml:space="preserve">Figure </w:t>
      </w:r>
      <w:r w:rsidRPr="009765AE">
        <w:rPr>
          <w:rFonts w:asciiTheme="minorHAnsi" w:hAnsiTheme="minorHAnsi" w:cstheme="minorHAnsi"/>
        </w:rPr>
        <w:fldChar w:fldCharType="begin"/>
      </w:r>
      <w:r w:rsidRPr="009765AE">
        <w:rPr>
          <w:rFonts w:asciiTheme="minorHAnsi" w:hAnsiTheme="minorHAnsi" w:cstheme="minorHAnsi"/>
        </w:rPr>
        <w:instrText xml:space="preserve"> SEQ Figure \* ARABIC </w:instrText>
      </w:r>
      <w:r w:rsidRPr="009765AE">
        <w:rPr>
          <w:rFonts w:asciiTheme="minorHAnsi" w:hAnsiTheme="minorHAnsi" w:cstheme="minorHAnsi"/>
        </w:rPr>
        <w:fldChar w:fldCharType="separate"/>
      </w:r>
      <w:r w:rsidR="002358AC">
        <w:rPr>
          <w:rFonts w:asciiTheme="minorHAnsi" w:hAnsiTheme="minorHAnsi" w:cstheme="minorHAnsi"/>
          <w:noProof/>
        </w:rPr>
        <w:t>1</w:t>
      </w:r>
      <w:r w:rsidRPr="009765AE">
        <w:rPr>
          <w:rFonts w:asciiTheme="minorHAnsi" w:hAnsiTheme="minorHAnsi" w:cstheme="minorHAnsi"/>
        </w:rPr>
        <w:fldChar w:fldCharType="end"/>
      </w:r>
      <w:r w:rsidRPr="009765AE">
        <w:rPr>
          <w:rFonts w:asciiTheme="minorHAnsi" w:hAnsiTheme="minorHAnsi" w:cstheme="minorHAnsi"/>
        </w:rPr>
        <w:t xml:space="preserve"> </w:t>
      </w:r>
      <w:r w:rsidRPr="009765AE">
        <w:rPr>
          <w:rFonts w:asciiTheme="minorHAnsi" w:hAnsiTheme="minorHAnsi" w:cstheme="minorHAnsi"/>
          <w:b w:val="0"/>
          <w:bCs w:val="0"/>
          <w:vertAlign w:val="superscript"/>
        </w:rPr>
        <w:t>1</w:t>
      </w:r>
      <w:r w:rsidRPr="009765AE">
        <w:rPr>
          <w:rFonts w:asciiTheme="minorHAnsi" w:hAnsiTheme="minorHAnsi" w:cstheme="minorHAnsi"/>
          <w:b w:val="0"/>
          <w:bCs w:val="0"/>
        </w:rPr>
        <w:t xml:space="preserve">H NMR spectrum of NDTA at pH=7.07 and 293 K in 0.15 M NaCl aqueous solution. </w:t>
      </w:r>
    </w:p>
    <w:p w14:paraId="118E60D9" w14:textId="77777777" w:rsidR="00D837ED" w:rsidRPr="009765AE" w:rsidRDefault="00D837ED" w:rsidP="00D837ED">
      <w:pPr>
        <w:rPr>
          <w:rFonts w:cstheme="minorHAnsi"/>
          <w:sz w:val="20"/>
          <w:szCs w:val="20"/>
          <w:lang w:val="it-IT" w:eastAsia="it-IT"/>
        </w:rPr>
      </w:pPr>
    </w:p>
    <w:p w14:paraId="4277C33E" w14:textId="1A83772F" w:rsidR="009765AE" w:rsidRDefault="00462ED7" w:rsidP="007B7974">
      <w:pPr>
        <w:jc w:val="both"/>
        <w:rPr>
          <w:rFonts w:cstheme="minorHAnsi"/>
          <w:sz w:val="20"/>
          <w:szCs w:val="20"/>
        </w:rPr>
      </w:pPr>
      <w:r w:rsidRPr="009765AE">
        <w:rPr>
          <w:rFonts w:cstheme="minorHAnsi"/>
          <w:sz w:val="20"/>
          <w:szCs w:val="20"/>
        </w:rPr>
        <w:t xml:space="preserve">The </w:t>
      </w:r>
      <w:r w:rsidRPr="00E01124">
        <w:rPr>
          <w:rFonts w:cstheme="minorHAnsi"/>
          <w:i/>
          <w:sz w:val="20"/>
          <w:szCs w:val="20"/>
        </w:rPr>
        <w:t>k</w:t>
      </w:r>
      <w:r w:rsidRPr="009765AE">
        <w:rPr>
          <w:rFonts w:cstheme="minorHAnsi"/>
          <w:sz w:val="20"/>
          <w:szCs w:val="20"/>
          <w:vertAlign w:val="subscript"/>
        </w:rPr>
        <w:t>ex</w:t>
      </w:r>
      <w:r w:rsidRPr="009765AE">
        <w:rPr>
          <w:rFonts w:cstheme="minorHAnsi"/>
          <w:sz w:val="20"/>
          <w:szCs w:val="20"/>
        </w:rPr>
        <w:t xml:space="preserve"> was determined by </w:t>
      </w:r>
      <w:r w:rsidRPr="009765AE">
        <w:rPr>
          <w:rFonts w:cstheme="minorHAnsi"/>
          <w:sz w:val="20"/>
          <w:szCs w:val="20"/>
          <w:vertAlign w:val="superscript"/>
        </w:rPr>
        <w:t>1</w:t>
      </w:r>
      <w:r w:rsidRPr="009765AE">
        <w:rPr>
          <w:rFonts w:cstheme="minorHAnsi"/>
          <w:sz w:val="20"/>
          <w:szCs w:val="20"/>
        </w:rPr>
        <w:t>H NMR spectroscopy</w:t>
      </w:r>
      <w:r w:rsidR="00E01124">
        <w:rPr>
          <w:rFonts w:cstheme="minorHAnsi"/>
          <w:sz w:val="20"/>
          <w:szCs w:val="20"/>
        </w:rPr>
        <w:t xml:space="preserve"> by</w:t>
      </w:r>
      <w:r w:rsidRPr="009765AE">
        <w:rPr>
          <w:rFonts w:cstheme="minorHAnsi"/>
          <w:sz w:val="20"/>
          <w:szCs w:val="20"/>
        </w:rPr>
        <w:t xml:space="preserve"> using DANTE pulse </w:t>
      </w:r>
      <w:r w:rsidR="00D837ED" w:rsidRPr="009765AE">
        <w:rPr>
          <w:rFonts w:cstheme="minorHAnsi"/>
          <w:sz w:val="20"/>
          <w:szCs w:val="20"/>
        </w:rPr>
        <w:t>train with selective inversion transfer between the exchanging pools</w:t>
      </w:r>
      <w:r w:rsidR="00E01124">
        <w:rPr>
          <w:rFonts w:cstheme="minorHAnsi"/>
          <w:sz w:val="20"/>
          <w:szCs w:val="20"/>
        </w:rPr>
        <w:t xml:space="preserve"> </w:t>
      </w:r>
      <w:r w:rsidR="00D837ED" w:rsidRPr="009765AE">
        <w:rPr>
          <w:rFonts w:cstheme="minorHAnsi"/>
          <w:sz w:val="20"/>
          <w:szCs w:val="20"/>
        </w:rPr>
        <w:fldChar w:fldCharType="begin"/>
      </w:r>
      <w:r w:rsidR="00D837ED" w:rsidRPr="009765AE">
        <w:rPr>
          <w:rFonts w:cstheme="minorHAnsi"/>
          <w:sz w:val="20"/>
          <w:szCs w:val="20"/>
        </w:rPr>
        <w:instrText xml:space="preserve"> ADDIN ZOTERO_ITEM CSL_CITATION {"citationID":"RW8JAZNj","properties":{"formattedCitation":"\\super [4]\\nosupersub{}","plainCitation":"[4]","noteIndex":0},"citationItems":[{"id":126,"uris":["http://zotero.org/users/local/cqA3uF0r/items/643D5CQ8"],"itemData":{"id":126,"type":"article-journal","container-title":"Journal of Magnetic Resonance","DOI":"10.1016/j.jmr.2011.08.020","ISSN":"10907807","issue":"2","journalAbbreviation":"Journal of Magnetic Resonance","language":"en","page":"244-246","source":"DOI.org (Crossref)","title":"The ‘DANTE’ experiment","volume":"213","author":[{"family":"Freeman","given":"Ray"},{"family":"Morris","given":"Gareth A."}],"issued":{"date-parts":[["2011",12]]}}}],"schema":"https://github.com/citation-style-language/schema/raw/master/csl-citation.json"} </w:instrText>
      </w:r>
      <w:r w:rsidR="00D837ED" w:rsidRPr="009765AE">
        <w:rPr>
          <w:rFonts w:cstheme="minorHAnsi"/>
          <w:sz w:val="20"/>
          <w:szCs w:val="20"/>
        </w:rPr>
        <w:fldChar w:fldCharType="separate"/>
      </w:r>
      <w:r w:rsidR="00D837ED" w:rsidRPr="009765AE">
        <w:rPr>
          <w:rFonts w:cstheme="minorHAnsi"/>
          <w:sz w:val="20"/>
          <w:szCs w:val="20"/>
          <w:vertAlign w:val="superscript"/>
        </w:rPr>
        <w:t>[4]</w:t>
      </w:r>
      <w:r w:rsidR="00D837ED" w:rsidRPr="009765AE">
        <w:rPr>
          <w:rFonts w:cstheme="minorHAnsi"/>
          <w:sz w:val="20"/>
          <w:szCs w:val="20"/>
        </w:rPr>
        <w:fldChar w:fldCharType="end"/>
      </w:r>
      <w:r w:rsidRPr="009765AE">
        <w:rPr>
          <w:rFonts w:cstheme="minorHAnsi"/>
          <w:sz w:val="20"/>
          <w:szCs w:val="20"/>
        </w:rPr>
        <w:t>.</w:t>
      </w:r>
      <w:r w:rsidR="00E01124">
        <w:rPr>
          <w:rFonts w:cstheme="minorHAnsi"/>
          <w:sz w:val="20"/>
          <w:szCs w:val="20"/>
        </w:rPr>
        <w:t xml:space="preserve"> The </w:t>
      </w:r>
      <w:r w:rsidRPr="00E01124">
        <w:rPr>
          <w:rFonts w:cstheme="minorHAnsi"/>
          <w:i/>
          <w:sz w:val="20"/>
          <w:szCs w:val="20"/>
        </w:rPr>
        <w:t>z</w:t>
      </w:r>
      <w:r w:rsidRPr="009765AE">
        <w:rPr>
          <w:rFonts w:cstheme="minorHAnsi"/>
          <w:sz w:val="20"/>
          <w:szCs w:val="20"/>
        </w:rPr>
        <w:t xml:space="preserve">-magnetization data obtained </w:t>
      </w:r>
      <w:r w:rsidR="00E01124">
        <w:rPr>
          <w:rFonts w:cstheme="minorHAnsi"/>
          <w:sz w:val="20"/>
          <w:szCs w:val="20"/>
        </w:rPr>
        <w:t xml:space="preserve">in the pH range 4 – 10 and in the </w:t>
      </w:r>
      <w:r w:rsidR="00E01124">
        <w:rPr>
          <w:rFonts w:cstheme="minorHAnsi"/>
          <w:sz w:val="20"/>
          <w:szCs w:val="20"/>
        </w:rPr>
        <w:lastRenderedPageBreak/>
        <w:t xml:space="preserve">tempetraute range 273 – 310 K </w:t>
      </w:r>
      <w:r w:rsidRPr="009765AE">
        <w:rPr>
          <w:rFonts w:cstheme="minorHAnsi"/>
          <w:sz w:val="20"/>
          <w:szCs w:val="20"/>
        </w:rPr>
        <w:t xml:space="preserve">were </w:t>
      </w:r>
      <w:r w:rsidR="00E01124">
        <w:rPr>
          <w:rFonts w:cstheme="minorHAnsi"/>
          <w:sz w:val="20"/>
          <w:szCs w:val="20"/>
        </w:rPr>
        <w:t>used</w:t>
      </w:r>
      <w:r w:rsidRPr="009765AE">
        <w:rPr>
          <w:rFonts w:cstheme="minorHAnsi"/>
          <w:sz w:val="20"/>
          <w:szCs w:val="20"/>
        </w:rPr>
        <w:t xml:space="preserve"> to calculate the longitudinal relaxation times and the exchange rates of protons. The forward exchange rate (</w:t>
      </w:r>
      <w:r w:rsidRPr="00E01124">
        <w:rPr>
          <w:rFonts w:cstheme="minorHAnsi"/>
          <w:i/>
          <w:sz w:val="20"/>
          <w:szCs w:val="20"/>
        </w:rPr>
        <w:t>k</w:t>
      </w:r>
      <w:r w:rsidRPr="009765AE">
        <w:rPr>
          <w:rFonts w:cstheme="minorHAnsi"/>
          <w:sz w:val="20"/>
          <w:szCs w:val="20"/>
          <w:vertAlign w:val="subscript"/>
        </w:rPr>
        <w:t>ex</w:t>
      </w:r>
      <w:r w:rsidRPr="009765AE">
        <w:rPr>
          <w:rFonts w:cstheme="minorHAnsi"/>
          <w:sz w:val="20"/>
          <w:szCs w:val="20"/>
        </w:rPr>
        <w:t>) was found to be 208 and 492 s</w:t>
      </w:r>
      <w:r w:rsidRPr="009765AE">
        <w:rPr>
          <w:rFonts w:cstheme="minorHAnsi"/>
          <w:sz w:val="20"/>
          <w:szCs w:val="20"/>
          <w:vertAlign w:val="superscript"/>
        </w:rPr>
        <w:t>-1</w:t>
      </w:r>
      <w:r w:rsidRPr="009765AE">
        <w:rPr>
          <w:rFonts w:cstheme="minorHAnsi"/>
          <w:sz w:val="20"/>
          <w:szCs w:val="20"/>
        </w:rPr>
        <w:t xml:space="preserve"> at 298 and 310 K, respectively. Protonation and the formation of the most important endogenous metal complex</w:t>
      </w:r>
      <w:r w:rsidR="00905E03">
        <w:rPr>
          <w:rFonts w:cstheme="minorHAnsi"/>
          <w:sz w:val="20"/>
          <w:szCs w:val="20"/>
        </w:rPr>
        <w:t>es</w:t>
      </w:r>
      <w:r w:rsidRPr="009765AE">
        <w:rPr>
          <w:rFonts w:cstheme="minorHAnsi"/>
          <w:sz w:val="20"/>
          <w:szCs w:val="20"/>
        </w:rPr>
        <w:t xml:space="preserve"> (Ca(II)-, Zn(II)- and Cu(II)-complexes) w</w:t>
      </w:r>
      <w:r w:rsidR="00905E03">
        <w:rPr>
          <w:rFonts w:cstheme="minorHAnsi"/>
          <w:sz w:val="20"/>
          <w:szCs w:val="20"/>
        </w:rPr>
        <w:t>ere</w:t>
      </w:r>
      <w:r w:rsidRPr="009765AE">
        <w:rPr>
          <w:rFonts w:cstheme="minorHAnsi"/>
          <w:sz w:val="20"/>
          <w:szCs w:val="20"/>
        </w:rPr>
        <w:t xml:space="preserve"> studied with pH-potentiometry, </w:t>
      </w:r>
      <w:r w:rsidRPr="0031350B">
        <w:rPr>
          <w:rFonts w:cstheme="minorHAnsi"/>
          <w:sz w:val="20"/>
          <w:szCs w:val="20"/>
          <w:vertAlign w:val="superscript"/>
        </w:rPr>
        <w:t>1</w:t>
      </w:r>
      <w:r w:rsidRPr="009765AE">
        <w:rPr>
          <w:rFonts w:cstheme="minorHAnsi"/>
          <w:sz w:val="20"/>
          <w:szCs w:val="20"/>
        </w:rPr>
        <w:t>H NMR spectroscopy and UV-Vis spectrophotometry.</w:t>
      </w:r>
      <w:r w:rsidR="00D837ED" w:rsidRPr="009765AE">
        <w:rPr>
          <w:rFonts w:cstheme="minorHAnsi"/>
          <w:sz w:val="20"/>
          <w:szCs w:val="20"/>
        </w:rPr>
        <w:t xml:space="preserve"> </w:t>
      </w:r>
      <w:r w:rsidRPr="009765AE">
        <w:rPr>
          <w:rFonts w:cstheme="minorHAnsi"/>
          <w:sz w:val="20"/>
          <w:szCs w:val="20"/>
        </w:rPr>
        <w:t xml:space="preserve">The first two protonation steps of </w:t>
      </w:r>
      <w:r w:rsidR="00D837ED" w:rsidRPr="009765AE">
        <w:rPr>
          <w:rFonts w:cstheme="minorHAnsi"/>
          <w:sz w:val="20"/>
          <w:szCs w:val="20"/>
        </w:rPr>
        <w:t>NDTA</w:t>
      </w:r>
      <w:r w:rsidRPr="009765AE">
        <w:rPr>
          <w:rFonts w:cstheme="minorHAnsi"/>
          <w:sz w:val="20"/>
          <w:szCs w:val="20"/>
        </w:rPr>
        <w:t xml:space="preserve"> (log</w:t>
      </w:r>
      <w:r w:rsidRPr="009765AE">
        <w:rPr>
          <w:rFonts w:cstheme="minorHAnsi"/>
          <w:i/>
          <w:sz w:val="20"/>
          <w:szCs w:val="20"/>
        </w:rPr>
        <w:t>K</w:t>
      </w:r>
      <w:r w:rsidRPr="009765AE">
        <w:rPr>
          <w:rFonts w:cstheme="minorHAnsi"/>
          <w:sz w:val="20"/>
          <w:szCs w:val="20"/>
          <w:vertAlign w:val="subscript"/>
        </w:rPr>
        <w:t>1</w:t>
      </w:r>
      <w:r w:rsidRPr="009765AE">
        <w:rPr>
          <w:rFonts w:cstheme="minorHAnsi"/>
          <w:sz w:val="20"/>
          <w:szCs w:val="20"/>
          <w:vertAlign w:val="superscript"/>
        </w:rPr>
        <w:t>H</w:t>
      </w:r>
      <w:r w:rsidRPr="009765AE">
        <w:rPr>
          <w:rFonts w:cstheme="minorHAnsi"/>
          <w:sz w:val="20"/>
          <w:szCs w:val="20"/>
        </w:rPr>
        <w:t xml:space="preserve"> = 10.75(2) and log</w:t>
      </w:r>
      <w:r w:rsidRPr="009765AE">
        <w:rPr>
          <w:rFonts w:cstheme="minorHAnsi"/>
          <w:i/>
          <w:sz w:val="20"/>
          <w:szCs w:val="20"/>
        </w:rPr>
        <w:t>K</w:t>
      </w:r>
      <w:r w:rsidRPr="009765AE">
        <w:rPr>
          <w:rFonts w:cstheme="minorHAnsi"/>
          <w:sz w:val="20"/>
          <w:szCs w:val="20"/>
          <w:vertAlign w:val="subscript"/>
        </w:rPr>
        <w:t>2</w:t>
      </w:r>
      <w:r w:rsidRPr="009765AE">
        <w:rPr>
          <w:rFonts w:cstheme="minorHAnsi"/>
          <w:sz w:val="20"/>
          <w:szCs w:val="20"/>
          <w:vertAlign w:val="superscript"/>
        </w:rPr>
        <w:t>H</w:t>
      </w:r>
      <w:r w:rsidRPr="009765AE">
        <w:rPr>
          <w:rFonts w:cstheme="minorHAnsi"/>
          <w:sz w:val="20"/>
          <w:szCs w:val="20"/>
        </w:rPr>
        <w:t xml:space="preserve"> = 4.84(5)) were assigned to the two nitrogens while the rest (log</w:t>
      </w:r>
      <w:r w:rsidRPr="009765AE">
        <w:rPr>
          <w:rFonts w:cstheme="minorHAnsi"/>
          <w:i/>
          <w:sz w:val="20"/>
          <w:szCs w:val="20"/>
        </w:rPr>
        <w:t>K</w:t>
      </w:r>
      <w:r w:rsidRPr="009765AE">
        <w:rPr>
          <w:rFonts w:cstheme="minorHAnsi"/>
          <w:sz w:val="20"/>
          <w:szCs w:val="20"/>
          <w:vertAlign w:val="subscript"/>
        </w:rPr>
        <w:t>3</w:t>
      </w:r>
      <w:r w:rsidRPr="009765AE">
        <w:rPr>
          <w:rFonts w:cstheme="minorHAnsi"/>
          <w:sz w:val="20"/>
          <w:szCs w:val="20"/>
          <w:vertAlign w:val="superscript"/>
        </w:rPr>
        <w:t>H</w:t>
      </w:r>
      <w:r w:rsidRPr="009765AE">
        <w:rPr>
          <w:rFonts w:cstheme="minorHAnsi"/>
          <w:sz w:val="20"/>
          <w:szCs w:val="20"/>
        </w:rPr>
        <w:t xml:space="preserve"> = 4.00 (5), log</w:t>
      </w:r>
      <w:r w:rsidRPr="009765AE">
        <w:rPr>
          <w:rFonts w:cstheme="minorHAnsi"/>
          <w:i/>
          <w:sz w:val="20"/>
          <w:szCs w:val="20"/>
        </w:rPr>
        <w:t>K</w:t>
      </w:r>
      <w:r w:rsidRPr="009765AE">
        <w:rPr>
          <w:rFonts w:cstheme="minorHAnsi"/>
          <w:sz w:val="20"/>
          <w:szCs w:val="20"/>
          <w:vertAlign w:val="subscript"/>
        </w:rPr>
        <w:t>4</w:t>
      </w:r>
      <w:r w:rsidRPr="009765AE">
        <w:rPr>
          <w:rFonts w:cstheme="minorHAnsi"/>
          <w:sz w:val="20"/>
          <w:szCs w:val="20"/>
          <w:vertAlign w:val="superscript"/>
        </w:rPr>
        <w:t>H</w:t>
      </w:r>
      <w:r w:rsidRPr="009765AE">
        <w:rPr>
          <w:rFonts w:cstheme="minorHAnsi"/>
          <w:sz w:val="20"/>
          <w:szCs w:val="20"/>
        </w:rPr>
        <w:t xml:space="preserve"> = 3.15 (5)</w:t>
      </w:r>
      <w:r w:rsidR="00D837ED" w:rsidRPr="009765AE">
        <w:rPr>
          <w:rFonts w:cstheme="minorHAnsi"/>
          <w:sz w:val="20"/>
          <w:szCs w:val="20"/>
        </w:rPr>
        <w:t>,</w:t>
      </w:r>
      <w:r w:rsidRPr="009765AE">
        <w:rPr>
          <w:rFonts w:cstheme="minorHAnsi"/>
          <w:sz w:val="20"/>
          <w:szCs w:val="20"/>
        </w:rPr>
        <w:t xml:space="preserve"> and log</w:t>
      </w:r>
      <w:r w:rsidRPr="009765AE">
        <w:rPr>
          <w:rFonts w:cstheme="minorHAnsi"/>
          <w:i/>
          <w:sz w:val="20"/>
          <w:szCs w:val="20"/>
        </w:rPr>
        <w:t>K</w:t>
      </w:r>
      <w:r w:rsidRPr="009765AE">
        <w:rPr>
          <w:rFonts w:cstheme="minorHAnsi"/>
          <w:sz w:val="20"/>
          <w:szCs w:val="20"/>
          <w:vertAlign w:val="subscript"/>
        </w:rPr>
        <w:t>5</w:t>
      </w:r>
      <w:r w:rsidRPr="009765AE">
        <w:rPr>
          <w:rFonts w:cstheme="minorHAnsi"/>
          <w:sz w:val="20"/>
          <w:szCs w:val="20"/>
          <w:vertAlign w:val="superscript"/>
        </w:rPr>
        <w:t>H</w:t>
      </w:r>
      <w:r w:rsidRPr="009765AE">
        <w:rPr>
          <w:rFonts w:cstheme="minorHAnsi"/>
          <w:sz w:val="20"/>
          <w:szCs w:val="20"/>
        </w:rPr>
        <w:t xml:space="preserve"> = 1.70(5)) were associated to the acetate carboxylates at 25</w:t>
      </w:r>
      <w:r w:rsidRPr="009765AE">
        <w:rPr>
          <w:rFonts w:cstheme="minorHAnsi"/>
          <w:sz w:val="20"/>
          <w:szCs w:val="20"/>
        </w:rPr>
        <w:sym w:font="Symbol" w:char="F0B0"/>
      </w:r>
      <w:r w:rsidRPr="009765AE">
        <w:rPr>
          <w:rFonts w:cstheme="minorHAnsi"/>
          <w:sz w:val="20"/>
          <w:szCs w:val="20"/>
        </w:rPr>
        <w:t xml:space="preserve">C in 0.15 M NaCl solution. The thermodynamic stability of the Ca(II)-, Zn(II)- and Cu(II)-complex with </w:t>
      </w:r>
      <w:r w:rsidR="00D837ED" w:rsidRPr="009765AE">
        <w:rPr>
          <w:rFonts w:cstheme="minorHAnsi"/>
          <w:sz w:val="20"/>
          <w:szCs w:val="20"/>
        </w:rPr>
        <w:t>NDTA</w:t>
      </w:r>
      <w:r w:rsidRPr="009765AE">
        <w:rPr>
          <w:rFonts w:cstheme="minorHAnsi"/>
          <w:sz w:val="20"/>
          <w:szCs w:val="20"/>
        </w:rPr>
        <w:t xml:space="preserve"> was found to be log</w:t>
      </w:r>
      <w:r w:rsidRPr="009765AE">
        <w:rPr>
          <w:rFonts w:cstheme="minorHAnsi"/>
          <w:i/>
          <w:sz w:val="20"/>
          <w:szCs w:val="20"/>
        </w:rPr>
        <w:t>K</w:t>
      </w:r>
      <w:r w:rsidRPr="009765AE">
        <w:rPr>
          <w:rFonts w:cstheme="minorHAnsi"/>
          <w:sz w:val="20"/>
          <w:szCs w:val="20"/>
          <w:vertAlign w:val="subscript"/>
        </w:rPr>
        <w:t>CaL</w:t>
      </w:r>
      <w:r w:rsidRPr="009765AE">
        <w:rPr>
          <w:rFonts w:cstheme="minorHAnsi"/>
          <w:sz w:val="20"/>
          <w:szCs w:val="20"/>
        </w:rPr>
        <w:t xml:space="preserve"> = 5.68 (6), log</w:t>
      </w:r>
      <w:r w:rsidRPr="009765AE">
        <w:rPr>
          <w:rFonts w:cstheme="minorHAnsi"/>
          <w:i/>
          <w:sz w:val="20"/>
          <w:szCs w:val="20"/>
        </w:rPr>
        <w:t>K</w:t>
      </w:r>
      <w:r w:rsidRPr="009765AE">
        <w:rPr>
          <w:rFonts w:cstheme="minorHAnsi"/>
          <w:sz w:val="20"/>
          <w:szCs w:val="20"/>
          <w:vertAlign w:val="subscript"/>
        </w:rPr>
        <w:t>ZnL</w:t>
      </w:r>
      <w:r w:rsidRPr="009765AE">
        <w:rPr>
          <w:rFonts w:cstheme="minorHAnsi"/>
          <w:sz w:val="20"/>
          <w:szCs w:val="20"/>
        </w:rPr>
        <w:t xml:space="preserve"> = 13.33 (2) and log</w:t>
      </w:r>
      <w:r w:rsidRPr="009765AE">
        <w:rPr>
          <w:rFonts w:cstheme="minorHAnsi"/>
          <w:i/>
          <w:sz w:val="20"/>
          <w:szCs w:val="20"/>
        </w:rPr>
        <w:t>K</w:t>
      </w:r>
      <w:r w:rsidRPr="009765AE">
        <w:rPr>
          <w:rFonts w:cstheme="minorHAnsi"/>
          <w:sz w:val="20"/>
          <w:szCs w:val="20"/>
          <w:vertAlign w:val="subscript"/>
        </w:rPr>
        <w:t>CuL</w:t>
      </w:r>
      <w:r w:rsidRPr="009765AE">
        <w:rPr>
          <w:rFonts w:cstheme="minorHAnsi"/>
          <w:sz w:val="20"/>
          <w:szCs w:val="20"/>
        </w:rPr>
        <w:t xml:space="preserve"> = 17.72 (2) (25</w:t>
      </w:r>
      <w:r w:rsidRPr="009765AE">
        <w:rPr>
          <w:rFonts w:cstheme="minorHAnsi"/>
          <w:sz w:val="20"/>
          <w:szCs w:val="20"/>
        </w:rPr>
        <w:sym w:font="Symbol" w:char="F0B0"/>
      </w:r>
      <w:r w:rsidRPr="009765AE">
        <w:rPr>
          <w:rFonts w:cstheme="minorHAnsi"/>
          <w:sz w:val="20"/>
          <w:szCs w:val="20"/>
        </w:rPr>
        <w:t>C, 0.15 M NaCl). CEST spectra were acquired on 600 MHz</w:t>
      </w:r>
      <w:r w:rsidR="002A168C">
        <w:rPr>
          <w:rFonts w:cstheme="minorHAnsi"/>
          <w:sz w:val="20"/>
          <w:szCs w:val="20"/>
        </w:rPr>
        <w:t>/</w:t>
      </w:r>
      <w:r w:rsidRPr="009765AE">
        <w:rPr>
          <w:rFonts w:cstheme="minorHAnsi"/>
          <w:sz w:val="20"/>
          <w:szCs w:val="20"/>
        </w:rPr>
        <w:t xml:space="preserve">400 MHz </w:t>
      </w:r>
      <w:r w:rsidRPr="009765AE">
        <w:rPr>
          <w:rFonts w:cstheme="minorHAnsi"/>
          <w:i/>
          <w:sz w:val="20"/>
          <w:szCs w:val="20"/>
        </w:rPr>
        <w:t>Varian/Agilent</w:t>
      </w:r>
      <w:r w:rsidRPr="009765AE">
        <w:rPr>
          <w:rFonts w:cstheme="minorHAnsi"/>
          <w:sz w:val="20"/>
          <w:szCs w:val="20"/>
        </w:rPr>
        <w:t xml:space="preserve"> NMR spectrometers by measuring the bulk water signal after a selective saturation pulse (</w:t>
      </w:r>
      <w:r w:rsidRPr="009765AE">
        <w:rPr>
          <w:rFonts w:cstheme="minorHAnsi"/>
          <w:i/>
          <w:sz w:val="20"/>
          <w:szCs w:val="20"/>
        </w:rPr>
        <w:t>B</w:t>
      </w:r>
      <w:r w:rsidRPr="009765AE">
        <w:rPr>
          <w:rFonts w:cstheme="minorHAnsi"/>
          <w:sz w:val="20"/>
          <w:szCs w:val="20"/>
        </w:rPr>
        <w:t xml:space="preserve">₁ = 1–10 µT, </w:t>
      </w:r>
      <w:r w:rsidRPr="009765AE">
        <w:rPr>
          <w:rFonts w:cstheme="minorHAnsi"/>
          <w:i/>
          <w:sz w:val="20"/>
          <w:szCs w:val="20"/>
        </w:rPr>
        <w:t>t</w:t>
      </w:r>
      <w:r w:rsidRPr="009765AE">
        <w:rPr>
          <w:rFonts w:cstheme="minorHAnsi"/>
          <w:sz w:val="20"/>
          <w:szCs w:val="20"/>
          <w:vertAlign w:val="subscript"/>
        </w:rPr>
        <w:t>sat</w:t>
      </w:r>
      <w:r w:rsidRPr="009765AE">
        <w:rPr>
          <w:rFonts w:cstheme="minorHAnsi"/>
          <w:sz w:val="20"/>
          <w:szCs w:val="20"/>
        </w:rPr>
        <w:t xml:space="preserve"> = 3–5 s), with a 5</w:t>
      </w:r>
      <w:r w:rsidR="00FC75FB">
        <w:rPr>
          <w:rFonts w:cstheme="minorHAnsi"/>
          <w:sz w:val="20"/>
          <w:szCs w:val="20"/>
        </w:rPr>
        <w:t xml:space="preserve"> </w:t>
      </w:r>
      <w:r w:rsidRPr="009765AE">
        <w:rPr>
          <w:rFonts w:cstheme="minorHAnsi"/>
          <w:sz w:val="20"/>
          <w:szCs w:val="20"/>
        </w:rPr>
        <w:t>s repetition time and 1</w:t>
      </w:r>
      <w:r w:rsidR="00FC75FB">
        <w:rPr>
          <w:rFonts w:cstheme="minorHAnsi"/>
          <w:sz w:val="20"/>
          <w:szCs w:val="20"/>
        </w:rPr>
        <w:t xml:space="preserve"> </w:t>
      </w:r>
      <w:r w:rsidRPr="009765AE">
        <w:rPr>
          <w:rFonts w:cstheme="minorHAnsi"/>
          <w:sz w:val="20"/>
          <w:szCs w:val="20"/>
        </w:rPr>
        <w:t xml:space="preserve">s acquisition </w:t>
      </w:r>
      <w:r w:rsidR="002A168C" w:rsidRPr="009765AE">
        <w:rPr>
          <w:rFonts w:cstheme="minorHAnsi"/>
          <w:sz w:val="20"/>
          <w:szCs w:val="20"/>
        </w:rPr>
        <w:t>time. The</w:t>
      </w:r>
      <w:r w:rsidRPr="009765AE">
        <w:rPr>
          <w:rFonts w:cstheme="minorHAnsi"/>
          <w:sz w:val="20"/>
          <w:szCs w:val="20"/>
        </w:rPr>
        <w:t xml:space="preserve"> CEST effect of </w:t>
      </w:r>
      <w:r w:rsidR="00D837ED" w:rsidRPr="009765AE">
        <w:rPr>
          <w:rFonts w:cstheme="minorHAnsi"/>
          <w:sz w:val="20"/>
          <w:szCs w:val="20"/>
        </w:rPr>
        <w:t>NDTA</w:t>
      </w:r>
      <w:r w:rsidRPr="009765AE">
        <w:rPr>
          <w:rFonts w:cstheme="minorHAnsi"/>
          <w:sz w:val="20"/>
          <w:szCs w:val="20"/>
        </w:rPr>
        <w:t xml:space="preserve"> at pH 7 </w:t>
      </w:r>
      <w:r w:rsidR="002A168C">
        <w:rPr>
          <w:rFonts w:cstheme="minorHAnsi"/>
          <w:sz w:val="20"/>
          <w:szCs w:val="20"/>
        </w:rPr>
        <w:t>shows linear dependence</w:t>
      </w:r>
      <w:r w:rsidRPr="009765AE">
        <w:rPr>
          <w:rFonts w:cstheme="minorHAnsi"/>
          <w:sz w:val="20"/>
          <w:szCs w:val="20"/>
        </w:rPr>
        <w:t xml:space="preserve"> with concentration, with optimal conditions at 37 °C and </w:t>
      </w:r>
      <w:r w:rsidRPr="009765AE">
        <w:rPr>
          <w:rFonts w:cstheme="minorHAnsi"/>
          <w:i/>
          <w:sz w:val="20"/>
          <w:szCs w:val="20"/>
        </w:rPr>
        <w:t>B</w:t>
      </w:r>
      <w:r w:rsidRPr="009765AE">
        <w:rPr>
          <w:rFonts w:cstheme="minorHAnsi"/>
          <w:sz w:val="20"/>
          <w:szCs w:val="20"/>
        </w:rPr>
        <w:t xml:space="preserve">₁ = 3 µT (consistent with </w:t>
      </w:r>
      <w:r w:rsidRPr="009765AE">
        <w:rPr>
          <w:rFonts w:cstheme="minorHAnsi"/>
          <w:i/>
          <w:sz w:val="20"/>
          <w:szCs w:val="20"/>
        </w:rPr>
        <w:t>k</w:t>
      </w:r>
      <w:r w:rsidRPr="009765AE">
        <w:rPr>
          <w:rFonts w:cstheme="minorHAnsi"/>
          <w:sz w:val="20"/>
          <w:szCs w:val="20"/>
          <w:vertAlign w:val="subscript"/>
        </w:rPr>
        <w:t>ex</w:t>
      </w:r>
      <w:r w:rsidRPr="009765AE">
        <w:rPr>
          <w:rFonts w:cstheme="minorHAnsi"/>
          <w:sz w:val="20"/>
          <w:szCs w:val="20"/>
        </w:rPr>
        <w:t xml:space="preserve"> = 2π</w:t>
      </w:r>
      <w:r w:rsidRPr="009765AE">
        <w:rPr>
          <w:rFonts w:cstheme="minorHAnsi"/>
          <w:i/>
          <w:sz w:val="20"/>
          <w:szCs w:val="20"/>
        </w:rPr>
        <w:t>B</w:t>
      </w:r>
      <w:r w:rsidRPr="009765AE">
        <w:rPr>
          <w:rFonts w:cstheme="minorHAnsi"/>
          <w:sz w:val="20"/>
          <w:szCs w:val="20"/>
        </w:rPr>
        <w:t>₁). In the absence of Ca</w:t>
      </w:r>
      <w:r w:rsidRPr="009765AE">
        <w:rPr>
          <w:rFonts w:cstheme="minorHAnsi"/>
          <w:sz w:val="20"/>
          <w:szCs w:val="20"/>
          <w:vertAlign w:val="superscript"/>
        </w:rPr>
        <w:t>2+</w:t>
      </w:r>
      <w:r w:rsidRPr="009765AE">
        <w:rPr>
          <w:rFonts w:cstheme="minorHAnsi"/>
          <w:sz w:val="20"/>
          <w:szCs w:val="20"/>
        </w:rPr>
        <w:t xml:space="preserve"> ion</w:t>
      </w:r>
      <w:r w:rsidRPr="009765AE">
        <w:rPr>
          <w:rFonts w:cstheme="minorHAnsi"/>
          <w:sz w:val="20"/>
          <w:szCs w:val="20"/>
          <w:vertAlign w:val="subscript"/>
        </w:rPr>
        <w:t>,</w:t>
      </w:r>
      <w:r w:rsidRPr="009765AE">
        <w:rPr>
          <w:rFonts w:cstheme="minorHAnsi"/>
          <w:sz w:val="20"/>
          <w:szCs w:val="20"/>
        </w:rPr>
        <w:t xml:space="preserve"> CEST was pH-independent between 6–9. </w:t>
      </w:r>
      <w:r w:rsidR="00905E03">
        <w:rPr>
          <w:rFonts w:cstheme="minorHAnsi"/>
          <w:sz w:val="20"/>
          <w:szCs w:val="20"/>
        </w:rPr>
        <w:t xml:space="preserve">However, in </w:t>
      </w:r>
      <w:r w:rsidRPr="009765AE">
        <w:rPr>
          <w:rFonts w:cstheme="minorHAnsi"/>
          <w:sz w:val="20"/>
          <w:szCs w:val="20"/>
        </w:rPr>
        <w:t xml:space="preserve"> the presence of Ca</w:t>
      </w:r>
      <w:r w:rsidRPr="009765AE">
        <w:rPr>
          <w:rFonts w:cstheme="minorHAnsi"/>
          <w:sz w:val="20"/>
          <w:szCs w:val="20"/>
          <w:vertAlign w:val="superscript"/>
        </w:rPr>
        <w:t>2+</w:t>
      </w:r>
      <w:r w:rsidRPr="009765AE">
        <w:rPr>
          <w:rFonts w:cstheme="minorHAnsi"/>
          <w:sz w:val="20"/>
          <w:szCs w:val="20"/>
        </w:rPr>
        <w:t xml:space="preserve"> ion, the CEST signal reflected the equilibrium Ca</w:t>
      </w:r>
      <w:r w:rsidRPr="009765AE">
        <w:rPr>
          <w:rFonts w:cstheme="minorHAnsi"/>
          <w:sz w:val="20"/>
          <w:szCs w:val="20"/>
          <w:vertAlign w:val="superscript"/>
        </w:rPr>
        <w:t>2+</w:t>
      </w:r>
      <w:r w:rsidRPr="009765AE">
        <w:rPr>
          <w:rFonts w:cstheme="minorHAnsi"/>
          <w:sz w:val="20"/>
          <w:szCs w:val="20"/>
        </w:rPr>
        <w:t xml:space="preserve">+ HL </w:t>
      </w:r>
      <w:r w:rsidRPr="009765AE">
        <w:rPr>
          <w:rFonts w:ascii="Cambria Math" w:hAnsi="Cambria Math" w:cs="Cambria Math"/>
          <w:sz w:val="20"/>
          <w:szCs w:val="20"/>
        </w:rPr>
        <w:t>⇌</w:t>
      </w:r>
      <w:r w:rsidRPr="009765AE">
        <w:rPr>
          <w:rFonts w:cstheme="minorHAnsi"/>
          <w:sz w:val="20"/>
          <w:szCs w:val="20"/>
        </w:rPr>
        <w:t xml:space="preserve"> CaL + H</w:t>
      </w:r>
      <w:r w:rsidRPr="009765AE">
        <w:rPr>
          <w:rFonts w:cstheme="minorHAnsi"/>
          <w:sz w:val="20"/>
          <w:szCs w:val="20"/>
          <w:vertAlign w:val="superscript"/>
        </w:rPr>
        <w:t>+</w:t>
      </w:r>
      <w:r w:rsidRPr="009765AE">
        <w:rPr>
          <w:rFonts w:cstheme="minorHAnsi"/>
          <w:sz w:val="20"/>
          <w:szCs w:val="20"/>
        </w:rPr>
        <w:t xml:space="preserve">. The Ca(II) complex itself showed no CEST due to the lack of exchangeable protons. At pH&lt;8, partial dissociation of the Ca(II)-complex increased the CEST signal by shifting the equilibrium toward the release of HL. Phantom imaging showed that </w:t>
      </w:r>
      <w:r w:rsidR="009765AE" w:rsidRPr="009765AE">
        <w:rPr>
          <w:rFonts w:cstheme="minorHAnsi"/>
          <w:sz w:val="20"/>
          <w:szCs w:val="20"/>
        </w:rPr>
        <w:t>NDTA</w:t>
      </w:r>
      <w:r w:rsidRPr="009765AE">
        <w:rPr>
          <w:rFonts w:cstheme="minorHAnsi"/>
          <w:sz w:val="20"/>
          <w:szCs w:val="20"/>
        </w:rPr>
        <w:t xml:space="preserve"> is about three times more effective than the gold-standard diaCEST agent, salicylate</w:t>
      </w:r>
      <w:r w:rsidR="009765AE" w:rsidRPr="009765AE">
        <w:rPr>
          <w:rFonts w:cstheme="minorHAnsi"/>
          <w:sz w:val="20"/>
          <w:szCs w:val="20"/>
        </w:rPr>
        <w:t xml:space="preserve"> </w:t>
      </w:r>
      <w:r w:rsidR="009765AE" w:rsidRPr="009765AE">
        <w:rPr>
          <w:rFonts w:cstheme="minorHAnsi"/>
          <w:sz w:val="20"/>
          <w:szCs w:val="20"/>
        </w:rPr>
        <w:fldChar w:fldCharType="begin"/>
      </w:r>
      <w:r w:rsidR="009765AE" w:rsidRPr="009765AE">
        <w:rPr>
          <w:rFonts w:cstheme="minorHAnsi"/>
          <w:sz w:val="20"/>
          <w:szCs w:val="20"/>
        </w:rPr>
        <w:instrText xml:space="preserve"> ADDIN ZOTERO_ITEM CSL_CITATION {"citationID":"6JgtkuLy","properties":{"formattedCitation":"\\super [5]\\nosupersub{}","plainCitation":"[5]","noteIndex":0},"citationItems":[{"id":127,"uris":["http://zotero.org/users/local/cqA3uF0r/items/T9XJB5WX"],"itemData":{"id":127,"type":"article-journal","container-title":"Angewandte Chemie International Edition","DOI":"10.1002/anie.201302764","ISSN":"1433-7851, 1521-3773","issue":"31","journalAbbreviation":"Angew Chem Int Ed","language":"en","license":"http://onlinelibrary.wiley.com/termsAndConditions#vor","page":"8116-8119","source":"DOI.org (Crossref)","title":"Salicylic Acid and Analogues as diaCEST MRI Contrast Agents with Highly Shifted Exchangeable Proton Frequencies","volume":"52","author":[{"family":"Yang","given":"Xing"},{"family":"Song","given":"Xiaolei"},{"family":"Li","given":"Yuguo"},{"family":"Liu","given":"Guanshu"},{"family":"Ray Banerjee","given":"Sangeeta"},{"family":"Pomper","given":"Martin G."},{"family":"McMahon","given":"Michael T."}],"issued":{"date-parts":[["2013",7,29]]}}}],"schema":"https://github.com/citation-style-language/schema/raw/master/csl-citation.json"} </w:instrText>
      </w:r>
      <w:r w:rsidR="009765AE" w:rsidRPr="009765AE">
        <w:rPr>
          <w:rFonts w:cstheme="minorHAnsi"/>
          <w:sz w:val="20"/>
          <w:szCs w:val="20"/>
        </w:rPr>
        <w:fldChar w:fldCharType="separate"/>
      </w:r>
      <w:r w:rsidR="009765AE" w:rsidRPr="009765AE">
        <w:rPr>
          <w:rFonts w:cstheme="minorHAnsi"/>
          <w:sz w:val="20"/>
          <w:szCs w:val="20"/>
          <w:vertAlign w:val="superscript"/>
        </w:rPr>
        <w:t>[5]</w:t>
      </w:r>
      <w:r w:rsidR="009765AE" w:rsidRPr="009765AE">
        <w:rPr>
          <w:rFonts w:cstheme="minorHAnsi"/>
          <w:sz w:val="20"/>
          <w:szCs w:val="20"/>
        </w:rPr>
        <w:fldChar w:fldCharType="end"/>
      </w:r>
      <w:r w:rsidRPr="009765AE">
        <w:rPr>
          <w:rFonts w:cstheme="minorHAnsi"/>
          <w:sz w:val="20"/>
          <w:szCs w:val="20"/>
        </w:rPr>
        <w:t xml:space="preserve">, at </w:t>
      </w:r>
      <w:r w:rsidRPr="009765AE">
        <w:rPr>
          <w:rFonts w:cstheme="minorHAnsi"/>
          <w:i/>
          <w:sz w:val="20"/>
          <w:szCs w:val="20"/>
        </w:rPr>
        <w:t>B</w:t>
      </w:r>
      <w:r w:rsidRPr="009765AE">
        <w:rPr>
          <w:rFonts w:cstheme="minorHAnsi"/>
          <w:sz w:val="20"/>
          <w:szCs w:val="20"/>
          <w:vertAlign w:val="subscript"/>
        </w:rPr>
        <w:t>1</w:t>
      </w:r>
      <w:r w:rsidRPr="009765AE">
        <w:rPr>
          <w:rFonts w:cstheme="minorHAnsi"/>
          <w:sz w:val="20"/>
          <w:szCs w:val="20"/>
        </w:rPr>
        <w:t xml:space="preserve"> = 3 µT, a saturation power compatible with human use. </w:t>
      </w:r>
      <w:r w:rsidR="007B7974" w:rsidRPr="009765AE">
        <w:rPr>
          <w:rFonts w:cstheme="minorHAnsi"/>
          <w:sz w:val="20"/>
          <w:szCs w:val="20"/>
        </w:rPr>
        <w:t xml:space="preserve">In vivo CEST imaging was performed on a </w:t>
      </w:r>
      <w:r w:rsidR="007B7974" w:rsidRPr="009765AE">
        <w:rPr>
          <w:rFonts w:cstheme="minorHAnsi"/>
          <w:i/>
          <w:sz w:val="20"/>
          <w:szCs w:val="20"/>
        </w:rPr>
        <w:t>Bruker BioSpec</w:t>
      </w:r>
      <w:r w:rsidR="002A168C">
        <w:rPr>
          <w:rFonts w:cstheme="minorHAnsi"/>
          <w:i/>
          <w:sz w:val="20"/>
          <w:szCs w:val="20"/>
        </w:rPr>
        <w:t xml:space="preserve"> </w:t>
      </w:r>
      <w:r w:rsidR="007B7974" w:rsidRPr="009765AE">
        <w:rPr>
          <w:rFonts w:cstheme="minorHAnsi"/>
          <w:i/>
          <w:sz w:val="20"/>
          <w:szCs w:val="20"/>
        </w:rPr>
        <w:t>3T</w:t>
      </w:r>
      <w:r w:rsidR="007B7974" w:rsidRPr="009765AE">
        <w:rPr>
          <w:rFonts w:cstheme="minorHAnsi"/>
          <w:sz w:val="20"/>
          <w:szCs w:val="20"/>
        </w:rPr>
        <w:t xml:space="preserve"> small-animal MR scanner.CEST images were acquired using a single-shot RARE sequence. Z-spectra were recorded in the ±25 ppm range using a </w:t>
      </w:r>
      <w:r w:rsidR="007B7974" w:rsidRPr="009765AE">
        <w:rPr>
          <w:rFonts w:cstheme="minorHAnsi"/>
          <w:i/>
          <w:sz w:val="20"/>
          <w:szCs w:val="20"/>
        </w:rPr>
        <w:t>B</w:t>
      </w:r>
      <w:r w:rsidR="007B7974" w:rsidRPr="0031350B">
        <w:rPr>
          <w:rFonts w:cstheme="minorHAnsi"/>
          <w:sz w:val="20"/>
          <w:szCs w:val="20"/>
          <w:vertAlign w:val="subscript"/>
        </w:rPr>
        <w:t>1</w:t>
      </w:r>
      <w:r w:rsidR="007B7974" w:rsidRPr="009765AE">
        <w:rPr>
          <w:rFonts w:cstheme="minorHAnsi"/>
          <w:sz w:val="20"/>
          <w:szCs w:val="20"/>
        </w:rPr>
        <w:t xml:space="preserve"> power of 2 to 5 μT. </w:t>
      </w:r>
      <w:r w:rsidR="007B7974" w:rsidRPr="009765AE">
        <w:rPr>
          <w:rFonts w:cstheme="minorHAnsi"/>
          <w:i/>
          <w:sz w:val="20"/>
          <w:szCs w:val="20"/>
        </w:rPr>
        <w:t>In vivo</w:t>
      </w:r>
      <w:r w:rsidR="007B7974" w:rsidRPr="009765AE">
        <w:rPr>
          <w:rFonts w:cstheme="minorHAnsi"/>
          <w:sz w:val="20"/>
          <w:szCs w:val="20"/>
        </w:rPr>
        <w:t xml:space="preserve"> imaging following a 1 mmol/kg tail vein injection revealed renal elimination and bladder accumulation</w:t>
      </w:r>
      <w:r w:rsidR="002A168C">
        <w:rPr>
          <w:rFonts w:cstheme="minorHAnsi"/>
          <w:sz w:val="20"/>
          <w:szCs w:val="20"/>
        </w:rPr>
        <w:t xml:space="preserve"> </w:t>
      </w:r>
      <w:r w:rsidR="009765AE" w:rsidRPr="009765AE">
        <w:rPr>
          <w:rFonts w:cstheme="minorHAnsi"/>
          <w:sz w:val="20"/>
          <w:szCs w:val="20"/>
        </w:rPr>
        <w:t>(Figure 2 )</w:t>
      </w:r>
      <w:r w:rsidR="007B7974" w:rsidRPr="009765AE">
        <w:rPr>
          <w:rFonts w:cstheme="minorHAnsi"/>
          <w:sz w:val="20"/>
          <w:szCs w:val="20"/>
        </w:rPr>
        <w:t>.</w:t>
      </w:r>
    </w:p>
    <w:p w14:paraId="33FE0D7B" w14:textId="77777777" w:rsidR="002A168C" w:rsidRPr="009765AE" w:rsidRDefault="002A168C" w:rsidP="002A168C">
      <w:pPr>
        <w:keepNext/>
        <w:jc w:val="center"/>
        <w:rPr>
          <w:rFonts w:cstheme="minorHAnsi"/>
          <w:sz w:val="20"/>
          <w:szCs w:val="20"/>
        </w:rPr>
      </w:pPr>
      <w:r w:rsidRPr="009765AE">
        <w:rPr>
          <w:rFonts w:cstheme="minorHAnsi"/>
          <w:noProof/>
          <w:sz w:val="20"/>
          <w:szCs w:val="20"/>
        </w:rPr>
        <w:drawing>
          <wp:inline distT="0" distB="0" distL="0" distR="0" wp14:anchorId="2FF45B35" wp14:editId="4201CABE">
            <wp:extent cx="4273195" cy="3108960"/>
            <wp:effectExtent l="0" t="0" r="0" b="0"/>
            <wp:docPr id="1813154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4172" cy="3116946"/>
                    </a:xfrm>
                    <a:prstGeom prst="rect">
                      <a:avLst/>
                    </a:prstGeom>
                    <a:noFill/>
                    <a:ln>
                      <a:noFill/>
                    </a:ln>
                  </pic:spPr>
                </pic:pic>
              </a:graphicData>
            </a:graphic>
          </wp:inline>
        </w:drawing>
      </w:r>
    </w:p>
    <w:p w14:paraId="3458063E" w14:textId="6A682FEC" w:rsidR="002A168C" w:rsidRPr="009765AE" w:rsidRDefault="002A168C" w:rsidP="002A168C">
      <w:pPr>
        <w:pStyle w:val="Caption"/>
        <w:jc w:val="center"/>
        <w:rPr>
          <w:rFonts w:asciiTheme="minorHAnsi" w:hAnsiTheme="minorHAnsi" w:cstheme="minorHAnsi"/>
        </w:rPr>
      </w:pPr>
      <w:r w:rsidRPr="009765AE">
        <w:rPr>
          <w:rFonts w:asciiTheme="minorHAnsi" w:hAnsiTheme="minorHAnsi" w:cstheme="minorHAnsi"/>
        </w:rPr>
        <w:t xml:space="preserve">Figure </w:t>
      </w:r>
      <w:r w:rsidRPr="009765AE">
        <w:rPr>
          <w:rFonts w:asciiTheme="minorHAnsi" w:hAnsiTheme="minorHAnsi" w:cstheme="minorHAnsi"/>
        </w:rPr>
        <w:fldChar w:fldCharType="begin"/>
      </w:r>
      <w:r w:rsidRPr="009765AE">
        <w:rPr>
          <w:rFonts w:asciiTheme="minorHAnsi" w:hAnsiTheme="minorHAnsi" w:cstheme="minorHAnsi"/>
        </w:rPr>
        <w:instrText xml:space="preserve"> SEQ Figure \* ARABIC </w:instrText>
      </w:r>
      <w:r w:rsidRPr="009765AE">
        <w:rPr>
          <w:rFonts w:asciiTheme="minorHAnsi" w:hAnsiTheme="minorHAnsi" w:cstheme="minorHAnsi"/>
        </w:rPr>
        <w:fldChar w:fldCharType="separate"/>
      </w:r>
      <w:r w:rsidR="002358AC">
        <w:rPr>
          <w:rFonts w:asciiTheme="minorHAnsi" w:hAnsiTheme="minorHAnsi" w:cstheme="minorHAnsi"/>
          <w:noProof/>
        </w:rPr>
        <w:t>2</w:t>
      </w:r>
      <w:r w:rsidRPr="009765AE">
        <w:rPr>
          <w:rFonts w:asciiTheme="minorHAnsi" w:hAnsiTheme="minorHAnsi" w:cstheme="minorHAnsi"/>
        </w:rPr>
        <w:fldChar w:fldCharType="end"/>
      </w:r>
      <w:r w:rsidRPr="009765AE">
        <w:rPr>
          <w:rFonts w:asciiTheme="minorHAnsi" w:hAnsiTheme="minorHAnsi" w:cstheme="minorHAnsi"/>
        </w:rPr>
        <w:t xml:space="preserve"> </w:t>
      </w:r>
      <w:r w:rsidRPr="009765AE">
        <w:rPr>
          <w:rFonts w:asciiTheme="minorHAnsi" w:hAnsiTheme="minorHAnsi" w:cstheme="minorHAnsi"/>
          <w:b w:val="0"/>
          <w:bCs w:val="0"/>
        </w:rPr>
        <w:t>A) Phantom imaging with NDTA (at 12.5 ppm) and salicylate (at 9.6 ppm), under identical conditions (pH 7.4, 37°C, RARE, tsat = 5 s, B0 = 3T, B1 = 3µT, TR = 3 s, TE = 40 ms). B) In vivo CEST imaging in mice with NDTA at 9.4T and 3T. Dose: 200 µL, 150 µ</w:t>
      </w:r>
    </w:p>
    <w:p w14:paraId="47BCE084" w14:textId="77777777" w:rsidR="002A168C" w:rsidRPr="009765AE" w:rsidRDefault="002A168C" w:rsidP="007B7974">
      <w:pPr>
        <w:jc w:val="both"/>
        <w:rPr>
          <w:rFonts w:cstheme="minorHAnsi"/>
          <w:sz w:val="20"/>
          <w:szCs w:val="20"/>
        </w:rPr>
      </w:pPr>
    </w:p>
    <w:p w14:paraId="5237F3B2" w14:textId="407FF50E" w:rsidR="009765AE" w:rsidRPr="009765AE" w:rsidRDefault="002A168C" w:rsidP="009765AE">
      <w:pPr>
        <w:jc w:val="both"/>
        <w:rPr>
          <w:rFonts w:cstheme="minorHAnsi"/>
          <w:sz w:val="20"/>
          <w:szCs w:val="20"/>
        </w:rPr>
      </w:pPr>
      <w:r>
        <w:rPr>
          <w:rFonts w:cstheme="minorHAnsi"/>
          <w:sz w:val="20"/>
          <w:szCs w:val="20"/>
        </w:rPr>
        <w:t>In conclusion</w:t>
      </w:r>
      <w:r w:rsidR="00905E03">
        <w:rPr>
          <w:rFonts w:cstheme="minorHAnsi"/>
          <w:sz w:val="20"/>
          <w:szCs w:val="20"/>
        </w:rPr>
        <w:t xml:space="preserve">, </w:t>
      </w:r>
      <w:r>
        <w:rPr>
          <w:rFonts w:cstheme="minorHAnsi"/>
          <w:sz w:val="20"/>
          <w:szCs w:val="20"/>
        </w:rPr>
        <w:t xml:space="preserve">the </w:t>
      </w:r>
      <w:r w:rsidR="007B7974" w:rsidRPr="009765AE">
        <w:rPr>
          <w:rFonts w:cstheme="minorHAnsi"/>
          <w:sz w:val="20"/>
          <w:szCs w:val="20"/>
        </w:rPr>
        <w:t xml:space="preserve"> favorable CEST properties of </w:t>
      </w:r>
      <w:r w:rsidR="009765AE" w:rsidRPr="009765AE">
        <w:rPr>
          <w:rFonts w:cstheme="minorHAnsi"/>
          <w:sz w:val="20"/>
          <w:szCs w:val="20"/>
        </w:rPr>
        <w:t>NDTA</w:t>
      </w:r>
      <w:r w:rsidR="007B7974" w:rsidRPr="009765AE">
        <w:rPr>
          <w:rFonts w:cstheme="minorHAnsi"/>
          <w:sz w:val="20"/>
          <w:szCs w:val="20"/>
        </w:rPr>
        <w:t xml:space="preserve"> arise from its unique structure. Monoprotonation of 1,8-dialkylamino naphthalenes forms a highly stable intramolecular [N–H–N]⁺ hydrogen bridge, causing an extreme downfield shift of the slowly exchanging proton. The acetate sidearms enhance </w:t>
      </w:r>
      <w:r w:rsidR="007B7974" w:rsidRPr="009765AE">
        <w:rPr>
          <w:rFonts w:cstheme="minorHAnsi"/>
          <w:i/>
          <w:sz w:val="20"/>
          <w:szCs w:val="20"/>
        </w:rPr>
        <w:t>k</w:t>
      </w:r>
      <w:r w:rsidR="007B7974" w:rsidRPr="009765AE">
        <w:rPr>
          <w:rFonts w:cstheme="minorHAnsi"/>
          <w:sz w:val="20"/>
          <w:szCs w:val="20"/>
          <w:vertAlign w:val="subscript"/>
        </w:rPr>
        <w:t>ex</w:t>
      </w:r>
      <w:r w:rsidR="007B7974" w:rsidRPr="009765AE">
        <w:rPr>
          <w:rFonts w:cstheme="minorHAnsi"/>
          <w:sz w:val="20"/>
          <w:szCs w:val="20"/>
        </w:rPr>
        <w:t xml:space="preserve"> via intramolecular catalysis of the proton exchange. Additionally, </w:t>
      </w:r>
      <w:r w:rsidR="009765AE" w:rsidRPr="009765AE">
        <w:rPr>
          <w:rFonts w:cstheme="minorHAnsi"/>
          <w:sz w:val="20"/>
          <w:szCs w:val="20"/>
        </w:rPr>
        <w:t>NDTA</w:t>
      </w:r>
      <w:r w:rsidR="007B7974" w:rsidRPr="009765AE">
        <w:rPr>
          <w:rFonts w:cstheme="minorHAnsi"/>
          <w:sz w:val="20"/>
          <w:szCs w:val="20"/>
        </w:rPr>
        <w:t xml:space="preserve"> forms a weak Ca(II)-complex whose pH-dependent formation/dissociation imparts pH sensitivity to the CEST effect.</w:t>
      </w:r>
      <w:r w:rsidR="00FC75FB">
        <w:rPr>
          <w:rFonts w:cstheme="minorHAnsi"/>
          <w:sz w:val="20"/>
          <w:szCs w:val="20"/>
        </w:rPr>
        <w:t xml:space="preserve"> </w:t>
      </w:r>
      <w:r w:rsidR="007B7974" w:rsidRPr="009765AE">
        <w:rPr>
          <w:rFonts w:cstheme="minorHAnsi"/>
          <w:sz w:val="20"/>
          <w:szCs w:val="20"/>
        </w:rPr>
        <w:t xml:space="preserve">The new diaCEST agent </w:t>
      </w:r>
      <w:r w:rsidR="009765AE" w:rsidRPr="009765AE">
        <w:rPr>
          <w:rFonts w:cstheme="minorHAnsi"/>
          <w:sz w:val="20"/>
          <w:szCs w:val="20"/>
        </w:rPr>
        <w:t>NDTA</w:t>
      </w:r>
      <w:r w:rsidR="007B7974" w:rsidRPr="009765AE">
        <w:rPr>
          <w:rFonts w:cstheme="minorHAnsi"/>
          <w:sz w:val="20"/>
          <w:szCs w:val="20"/>
        </w:rPr>
        <w:t xml:space="preserve"> combines large Δ</w:t>
      </w:r>
      <w:r w:rsidR="007B7974" w:rsidRPr="009765AE">
        <w:rPr>
          <w:rFonts w:cstheme="minorHAnsi"/>
          <w:i/>
          <w:sz w:val="20"/>
          <w:szCs w:val="20"/>
        </w:rPr>
        <w:t>ω</w:t>
      </w:r>
      <w:r w:rsidR="007B7974" w:rsidRPr="009765AE">
        <w:rPr>
          <w:rFonts w:cstheme="minorHAnsi"/>
          <w:sz w:val="20"/>
          <w:szCs w:val="20"/>
        </w:rPr>
        <w:t xml:space="preserve"> and nearly optimal </w:t>
      </w:r>
      <w:r w:rsidR="007B7974" w:rsidRPr="009765AE">
        <w:rPr>
          <w:rFonts w:cstheme="minorHAnsi"/>
          <w:i/>
          <w:sz w:val="20"/>
          <w:szCs w:val="20"/>
        </w:rPr>
        <w:t>k</w:t>
      </w:r>
      <w:r w:rsidR="007B7974" w:rsidRPr="009765AE">
        <w:rPr>
          <w:rFonts w:cstheme="minorHAnsi"/>
          <w:sz w:val="20"/>
          <w:szCs w:val="20"/>
          <w:vertAlign w:val="subscript"/>
        </w:rPr>
        <w:t>ex</w:t>
      </w:r>
      <w:r w:rsidR="007B7974" w:rsidRPr="009765AE">
        <w:rPr>
          <w:rFonts w:cstheme="minorHAnsi"/>
          <w:sz w:val="20"/>
          <w:szCs w:val="20"/>
        </w:rPr>
        <w:t xml:space="preserve"> for </w:t>
      </w:r>
      <w:r w:rsidR="007B7974" w:rsidRPr="009765AE">
        <w:rPr>
          <w:rFonts w:cstheme="minorHAnsi"/>
          <w:i/>
          <w:sz w:val="20"/>
          <w:szCs w:val="20"/>
        </w:rPr>
        <w:t>in vivo</w:t>
      </w:r>
      <w:r w:rsidR="007B7974" w:rsidRPr="009765AE">
        <w:rPr>
          <w:rFonts w:cstheme="minorHAnsi"/>
          <w:sz w:val="20"/>
          <w:szCs w:val="20"/>
        </w:rPr>
        <w:t xml:space="preserve"> imaging at clinical </w:t>
      </w:r>
      <w:r w:rsidR="007B7974" w:rsidRPr="009765AE">
        <w:rPr>
          <w:rFonts w:cstheme="minorHAnsi"/>
          <w:i/>
          <w:sz w:val="20"/>
          <w:szCs w:val="20"/>
        </w:rPr>
        <w:t>B</w:t>
      </w:r>
      <w:r w:rsidR="007B7974" w:rsidRPr="009765AE">
        <w:rPr>
          <w:rFonts w:cstheme="minorHAnsi"/>
          <w:sz w:val="20"/>
          <w:szCs w:val="20"/>
          <w:vertAlign w:val="subscript"/>
        </w:rPr>
        <w:t>0</w:t>
      </w:r>
      <w:r w:rsidR="007B7974" w:rsidRPr="009765AE">
        <w:rPr>
          <w:rFonts w:cstheme="minorHAnsi"/>
          <w:sz w:val="20"/>
          <w:szCs w:val="20"/>
        </w:rPr>
        <w:t xml:space="preserve"> field. </w:t>
      </w:r>
    </w:p>
    <w:p w14:paraId="4FB1B4DD" w14:textId="008176B0" w:rsidR="00462ED7" w:rsidRPr="009765AE" w:rsidRDefault="00462ED7" w:rsidP="003E382F">
      <w:pPr>
        <w:spacing w:after="60" w:line="240" w:lineRule="auto"/>
        <w:jc w:val="both"/>
        <w:rPr>
          <w:rFonts w:cstheme="minorHAnsi"/>
          <w:sz w:val="20"/>
          <w:szCs w:val="20"/>
          <w:lang w:val="en-US"/>
        </w:rPr>
      </w:pPr>
    </w:p>
    <w:p w14:paraId="2D998CB4" w14:textId="77777777" w:rsidR="00003352" w:rsidRPr="004213F8" w:rsidRDefault="00003352" w:rsidP="003E382F">
      <w:pPr>
        <w:spacing w:after="60" w:line="240" w:lineRule="auto"/>
        <w:jc w:val="both"/>
        <w:rPr>
          <w:rFonts w:cstheme="minorHAnsi"/>
          <w:sz w:val="20"/>
          <w:szCs w:val="20"/>
          <w:lang w:val="en-US"/>
        </w:rPr>
      </w:pPr>
    </w:p>
    <w:p w14:paraId="48D157F2" w14:textId="5355F9F3" w:rsidR="00DD50BB" w:rsidRPr="00571A58" w:rsidRDefault="00DD50BB" w:rsidP="00DD50BB">
      <w:pPr>
        <w:spacing w:after="60" w:line="240" w:lineRule="auto"/>
        <w:jc w:val="both"/>
        <w:rPr>
          <w:rFonts w:cstheme="minorHAnsi"/>
          <w:b/>
          <w:sz w:val="20"/>
          <w:szCs w:val="20"/>
          <w:lang w:val="en-US"/>
        </w:rPr>
      </w:pPr>
      <w:r w:rsidRPr="00571A58">
        <w:rPr>
          <w:rFonts w:cstheme="minorHAnsi"/>
          <w:b/>
          <w:sz w:val="20"/>
          <w:szCs w:val="20"/>
          <w:lang w:val="en-US"/>
        </w:rPr>
        <w:lastRenderedPageBreak/>
        <w:t xml:space="preserve">References </w:t>
      </w:r>
      <w:r w:rsidR="00980E78">
        <w:rPr>
          <w:rFonts w:cstheme="minorHAnsi"/>
          <w:b/>
          <w:sz w:val="20"/>
          <w:szCs w:val="20"/>
          <w:lang w:val="en-US"/>
        </w:rPr>
        <w:t>:</w:t>
      </w:r>
    </w:p>
    <w:p w14:paraId="738ABE2E" w14:textId="77777777" w:rsidR="009765AE" w:rsidRPr="009765AE" w:rsidRDefault="00D837ED" w:rsidP="009765AE">
      <w:pPr>
        <w:pStyle w:val="Bibliography"/>
        <w:rPr>
          <w:rFonts w:ascii="Calibri" w:hAnsi="Calibri" w:cs="Calibri"/>
          <w:sz w:val="18"/>
        </w:rPr>
      </w:pPr>
      <w:r>
        <w:rPr>
          <w:rFonts w:cstheme="minorHAnsi"/>
          <w:sz w:val="18"/>
          <w:szCs w:val="18"/>
          <w:lang w:val="en-US"/>
        </w:rPr>
        <w:fldChar w:fldCharType="begin"/>
      </w:r>
      <w:r>
        <w:rPr>
          <w:rFonts w:cstheme="minorHAnsi"/>
          <w:sz w:val="18"/>
          <w:szCs w:val="18"/>
          <w:lang w:val="en-US"/>
        </w:rPr>
        <w:instrText xml:space="preserve"> ADDIN ZOTERO_BIBL {"uncited":[],"omitted":[],"custom":[]} CSL_BIBLIOGRAPHY </w:instrText>
      </w:r>
      <w:r>
        <w:rPr>
          <w:rFonts w:cstheme="minorHAnsi"/>
          <w:sz w:val="18"/>
          <w:szCs w:val="18"/>
          <w:lang w:val="en-US"/>
        </w:rPr>
        <w:fldChar w:fldCharType="separate"/>
      </w:r>
      <w:r w:rsidR="009765AE" w:rsidRPr="009765AE">
        <w:rPr>
          <w:rFonts w:ascii="Calibri" w:hAnsi="Calibri" w:cs="Calibri"/>
          <w:sz w:val="18"/>
        </w:rPr>
        <w:t>[1]</w:t>
      </w:r>
      <w:r w:rsidR="009765AE" w:rsidRPr="009765AE">
        <w:rPr>
          <w:rFonts w:ascii="Calibri" w:hAnsi="Calibri" w:cs="Calibri"/>
          <w:sz w:val="18"/>
        </w:rPr>
        <w:tab/>
        <w:t xml:space="preserve">G. Liu, X. Song, K. W. Y. Chan, M. T. McMahon, “Nuts and bolts of chemical exchange saturation transfer MRI” </w:t>
      </w:r>
      <w:r w:rsidR="009765AE" w:rsidRPr="009765AE">
        <w:rPr>
          <w:rFonts w:ascii="Calibri" w:hAnsi="Calibri" w:cs="Calibri"/>
          <w:i/>
          <w:iCs/>
          <w:sz w:val="18"/>
        </w:rPr>
        <w:t>NMR in Biomedicine</w:t>
      </w:r>
      <w:r w:rsidR="009765AE" w:rsidRPr="009765AE">
        <w:rPr>
          <w:rFonts w:ascii="Calibri" w:hAnsi="Calibri" w:cs="Calibri"/>
          <w:sz w:val="18"/>
        </w:rPr>
        <w:t xml:space="preserve"> </w:t>
      </w:r>
      <w:r w:rsidR="009765AE" w:rsidRPr="009765AE">
        <w:rPr>
          <w:rFonts w:ascii="Calibri" w:hAnsi="Calibri" w:cs="Calibri"/>
          <w:b/>
          <w:bCs/>
          <w:sz w:val="18"/>
        </w:rPr>
        <w:t>2013</w:t>
      </w:r>
      <w:r w:rsidR="009765AE" w:rsidRPr="009765AE">
        <w:rPr>
          <w:rFonts w:ascii="Calibri" w:hAnsi="Calibri" w:cs="Calibri"/>
          <w:sz w:val="18"/>
        </w:rPr>
        <w:t xml:space="preserve">, </w:t>
      </w:r>
      <w:r w:rsidR="009765AE" w:rsidRPr="009765AE">
        <w:rPr>
          <w:rFonts w:ascii="Calibri" w:hAnsi="Calibri" w:cs="Calibri"/>
          <w:i/>
          <w:iCs/>
          <w:sz w:val="18"/>
        </w:rPr>
        <w:t>26</w:t>
      </w:r>
      <w:r w:rsidR="009765AE" w:rsidRPr="009765AE">
        <w:rPr>
          <w:rFonts w:ascii="Calibri" w:hAnsi="Calibri" w:cs="Calibri"/>
          <w:sz w:val="18"/>
        </w:rPr>
        <w:t>, 810–828.</w:t>
      </w:r>
    </w:p>
    <w:p w14:paraId="2CAEDEB4" w14:textId="77777777" w:rsidR="009765AE" w:rsidRPr="009765AE" w:rsidRDefault="009765AE" w:rsidP="009765AE">
      <w:pPr>
        <w:pStyle w:val="Bibliography"/>
        <w:rPr>
          <w:rFonts w:ascii="Calibri" w:hAnsi="Calibri" w:cs="Calibri"/>
          <w:sz w:val="18"/>
        </w:rPr>
      </w:pPr>
      <w:r w:rsidRPr="009765AE">
        <w:rPr>
          <w:rFonts w:ascii="Calibri" w:hAnsi="Calibri" w:cs="Calibri"/>
          <w:sz w:val="18"/>
        </w:rPr>
        <w:t>[2]</w:t>
      </w:r>
      <w:r w:rsidRPr="009765AE">
        <w:rPr>
          <w:rFonts w:ascii="Calibri" w:hAnsi="Calibri" w:cs="Calibri"/>
          <w:sz w:val="18"/>
        </w:rPr>
        <w:tab/>
        <w:t xml:space="preserve">E. Vinogradov, A. D. Sherry, R. E. Lenkinski, “CEST: From basic principles to applications, challenges and opportunities” </w:t>
      </w:r>
      <w:r w:rsidRPr="009765AE">
        <w:rPr>
          <w:rFonts w:ascii="Calibri" w:hAnsi="Calibri" w:cs="Calibri"/>
          <w:i/>
          <w:iCs/>
          <w:sz w:val="18"/>
        </w:rPr>
        <w:t>Journal of Magnetic Resonance</w:t>
      </w:r>
      <w:r w:rsidRPr="009765AE">
        <w:rPr>
          <w:rFonts w:ascii="Calibri" w:hAnsi="Calibri" w:cs="Calibri"/>
          <w:sz w:val="18"/>
        </w:rPr>
        <w:t xml:space="preserve"> </w:t>
      </w:r>
      <w:r w:rsidRPr="009765AE">
        <w:rPr>
          <w:rFonts w:ascii="Calibri" w:hAnsi="Calibri" w:cs="Calibri"/>
          <w:b/>
          <w:bCs/>
          <w:sz w:val="18"/>
        </w:rPr>
        <w:t>2013</w:t>
      </w:r>
      <w:r w:rsidRPr="009765AE">
        <w:rPr>
          <w:rFonts w:ascii="Calibri" w:hAnsi="Calibri" w:cs="Calibri"/>
          <w:sz w:val="18"/>
        </w:rPr>
        <w:t xml:space="preserve">, </w:t>
      </w:r>
      <w:r w:rsidRPr="009765AE">
        <w:rPr>
          <w:rFonts w:ascii="Calibri" w:hAnsi="Calibri" w:cs="Calibri"/>
          <w:i/>
          <w:iCs/>
          <w:sz w:val="18"/>
        </w:rPr>
        <w:t>229</w:t>
      </w:r>
      <w:r w:rsidRPr="009765AE">
        <w:rPr>
          <w:rFonts w:ascii="Calibri" w:hAnsi="Calibri" w:cs="Calibri"/>
          <w:sz w:val="18"/>
        </w:rPr>
        <w:t>, 155–172.</w:t>
      </w:r>
    </w:p>
    <w:p w14:paraId="4BA259C2" w14:textId="77777777" w:rsidR="009765AE" w:rsidRPr="009765AE" w:rsidRDefault="009765AE" w:rsidP="009765AE">
      <w:pPr>
        <w:pStyle w:val="Bibliography"/>
        <w:rPr>
          <w:rFonts w:ascii="Calibri" w:hAnsi="Calibri" w:cs="Calibri"/>
          <w:sz w:val="18"/>
        </w:rPr>
      </w:pPr>
      <w:r w:rsidRPr="009765AE">
        <w:rPr>
          <w:rFonts w:ascii="Calibri" w:hAnsi="Calibri" w:cs="Calibri"/>
          <w:sz w:val="18"/>
        </w:rPr>
        <w:t>[3]</w:t>
      </w:r>
      <w:r w:rsidRPr="009765AE">
        <w:rPr>
          <w:rFonts w:ascii="Calibri" w:hAnsi="Calibri" w:cs="Calibri"/>
          <w:sz w:val="18"/>
        </w:rPr>
        <w:tab/>
        <w:t xml:space="preserve">S. Viswanathan, Z. Kovacs, K. N. Green, S. J. Ratnakar, A. D. Sherry, “Alternatives to Gadolinium-Based Metal Chelates for Magnetic Resonance Imaging” </w:t>
      </w:r>
      <w:r w:rsidRPr="009765AE">
        <w:rPr>
          <w:rFonts w:ascii="Calibri" w:hAnsi="Calibri" w:cs="Calibri"/>
          <w:i/>
          <w:iCs/>
          <w:sz w:val="18"/>
        </w:rPr>
        <w:t>Chem. Rev.</w:t>
      </w:r>
      <w:r w:rsidRPr="009765AE">
        <w:rPr>
          <w:rFonts w:ascii="Calibri" w:hAnsi="Calibri" w:cs="Calibri"/>
          <w:sz w:val="18"/>
        </w:rPr>
        <w:t xml:space="preserve"> </w:t>
      </w:r>
      <w:r w:rsidRPr="009765AE">
        <w:rPr>
          <w:rFonts w:ascii="Calibri" w:hAnsi="Calibri" w:cs="Calibri"/>
          <w:b/>
          <w:bCs/>
          <w:sz w:val="18"/>
        </w:rPr>
        <w:t>2010</w:t>
      </w:r>
      <w:r w:rsidRPr="009765AE">
        <w:rPr>
          <w:rFonts w:ascii="Calibri" w:hAnsi="Calibri" w:cs="Calibri"/>
          <w:sz w:val="18"/>
        </w:rPr>
        <w:t xml:space="preserve">, </w:t>
      </w:r>
      <w:r w:rsidRPr="009765AE">
        <w:rPr>
          <w:rFonts w:ascii="Calibri" w:hAnsi="Calibri" w:cs="Calibri"/>
          <w:i/>
          <w:iCs/>
          <w:sz w:val="18"/>
        </w:rPr>
        <w:t>110</w:t>
      </w:r>
      <w:r w:rsidRPr="009765AE">
        <w:rPr>
          <w:rFonts w:ascii="Calibri" w:hAnsi="Calibri" w:cs="Calibri"/>
          <w:sz w:val="18"/>
        </w:rPr>
        <w:t>, 2960–3018.</w:t>
      </w:r>
    </w:p>
    <w:p w14:paraId="2E5A546C" w14:textId="77777777" w:rsidR="009765AE" w:rsidRPr="009765AE" w:rsidRDefault="009765AE" w:rsidP="009765AE">
      <w:pPr>
        <w:pStyle w:val="Bibliography"/>
        <w:rPr>
          <w:rFonts w:ascii="Calibri" w:hAnsi="Calibri" w:cs="Calibri"/>
          <w:sz w:val="18"/>
        </w:rPr>
      </w:pPr>
      <w:r w:rsidRPr="009765AE">
        <w:rPr>
          <w:rFonts w:ascii="Calibri" w:hAnsi="Calibri" w:cs="Calibri"/>
          <w:sz w:val="18"/>
        </w:rPr>
        <w:t>[4]</w:t>
      </w:r>
      <w:r w:rsidRPr="009765AE">
        <w:rPr>
          <w:rFonts w:ascii="Calibri" w:hAnsi="Calibri" w:cs="Calibri"/>
          <w:sz w:val="18"/>
        </w:rPr>
        <w:tab/>
        <w:t xml:space="preserve">R. Freeman, G. A. Morris, “The ‘DANTE’ experiment” </w:t>
      </w:r>
      <w:r w:rsidRPr="009765AE">
        <w:rPr>
          <w:rFonts w:ascii="Calibri" w:hAnsi="Calibri" w:cs="Calibri"/>
          <w:i/>
          <w:iCs/>
          <w:sz w:val="18"/>
        </w:rPr>
        <w:t>Journal of Magnetic Resonance</w:t>
      </w:r>
      <w:r w:rsidRPr="009765AE">
        <w:rPr>
          <w:rFonts w:ascii="Calibri" w:hAnsi="Calibri" w:cs="Calibri"/>
          <w:sz w:val="18"/>
        </w:rPr>
        <w:t xml:space="preserve"> </w:t>
      </w:r>
      <w:r w:rsidRPr="009765AE">
        <w:rPr>
          <w:rFonts w:ascii="Calibri" w:hAnsi="Calibri" w:cs="Calibri"/>
          <w:b/>
          <w:bCs/>
          <w:sz w:val="18"/>
        </w:rPr>
        <w:t>2011</w:t>
      </w:r>
      <w:r w:rsidRPr="009765AE">
        <w:rPr>
          <w:rFonts w:ascii="Calibri" w:hAnsi="Calibri" w:cs="Calibri"/>
          <w:sz w:val="18"/>
        </w:rPr>
        <w:t xml:space="preserve">, </w:t>
      </w:r>
      <w:r w:rsidRPr="009765AE">
        <w:rPr>
          <w:rFonts w:ascii="Calibri" w:hAnsi="Calibri" w:cs="Calibri"/>
          <w:i/>
          <w:iCs/>
          <w:sz w:val="18"/>
        </w:rPr>
        <w:t>213</w:t>
      </w:r>
      <w:r w:rsidRPr="009765AE">
        <w:rPr>
          <w:rFonts w:ascii="Calibri" w:hAnsi="Calibri" w:cs="Calibri"/>
          <w:sz w:val="18"/>
        </w:rPr>
        <w:t>, 244–246.</w:t>
      </w:r>
    </w:p>
    <w:p w14:paraId="5A65911E" w14:textId="77777777" w:rsidR="009765AE" w:rsidRPr="009765AE" w:rsidRDefault="009765AE" w:rsidP="009765AE">
      <w:pPr>
        <w:pStyle w:val="Bibliography"/>
        <w:rPr>
          <w:rFonts w:ascii="Calibri" w:hAnsi="Calibri" w:cs="Calibri"/>
          <w:sz w:val="18"/>
        </w:rPr>
      </w:pPr>
      <w:r w:rsidRPr="009765AE">
        <w:rPr>
          <w:rFonts w:ascii="Calibri" w:hAnsi="Calibri" w:cs="Calibri"/>
          <w:sz w:val="18"/>
        </w:rPr>
        <w:t>[5]</w:t>
      </w:r>
      <w:r w:rsidRPr="009765AE">
        <w:rPr>
          <w:rFonts w:ascii="Calibri" w:hAnsi="Calibri" w:cs="Calibri"/>
          <w:sz w:val="18"/>
        </w:rPr>
        <w:tab/>
        <w:t xml:space="preserve">X. Yang, X. Song, Y. Li, G. Liu, S. Ray Banerjee, M. G. Pomper, M. T. McMahon, “Salicylic Acid and Analogues as diaCEST MRI Contrast Agents with Highly Shifted Exchangeable Proton Frequencies” </w:t>
      </w:r>
      <w:r w:rsidRPr="009765AE">
        <w:rPr>
          <w:rFonts w:ascii="Calibri" w:hAnsi="Calibri" w:cs="Calibri"/>
          <w:i/>
          <w:iCs/>
          <w:sz w:val="18"/>
        </w:rPr>
        <w:t>Angew Chem Int Ed</w:t>
      </w:r>
      <w:r w:rsidRPr="009765AE">
        <w:rPr>
          <w:rFonts w:ascii="Calibri" w:hAnsi="Calibri" w:cs="Calibri"/>
          <w:sz w:val="18"/>
        </w:rPr>
        <w:t xml:space="preserve"> </w:t>
      </w:r>
      <w:r w:rsidRPr="009765AE">
        <w:rPr>
          <w:rFonts w:ascii="Calibri" w:hAnsi="Calibri" w:cs="Calibri"/>
          <w:b/>
          <w:bCs/>
          <w:sz w:val="18"/>
        </w:rPr>
        <w:t>2013</w:t>
      </w:r>
      <w:r w:rsidRPr="009765AE">
        <w:rPr>
          <w:rFonts w:ascii="Calibri" w:hAnsi="Calibri" w:cs="Calibri"/>
          <w:sz w:val="18"/>
        </w:rPr>
        <w:t xml:space="preserve">, </w:t>
      </w:r>
      <w:r w:rsidRPr="009765AE">
        <w:rPr>
          <w:rFonts w:ascii="Calibri" w:hAnsi="Calibri" w:cs="Calibri"/>
          <w:i/>
          <w:iCs/>
          <w:sz w:val="18"/>
        </w:rPr>
        <w:t>52</w:t>
      </w:r>
      <w:r w:rsidRPr="009765AE">
        <w:rPr>
          <w:rFonts w:ascii="Calibri" w:hAnsi="Calibri" w:cs="Calibri"/>
          <w:sz w:val="18"/>
        </w:rPr>
        <w:t>, 8116–8119.</w:t>
      </w:r>
    </w:p>
    <w:p w14:paraId="2055C3E6" w14:textId="4D21BFEC" w:rsidR="00F34536" w:rsidRPr="00FA3700" w:rsidRDefault="00D837ED" w:rsidP="00423AC2">
      <w:pPr>
        <w:spacing w:after="60" w:line="240" w:lineRule="auto"/>
        <w:ind w:left="142" w:hanging="142"/>
        <w:jc w:val="both"/>
        <w:rPr>
          <w:rFonts w:cstheme="minorHAnsi"/>
          <w:sz w:val="18"/>
          <w:szCs w:val="18"/>
          <w:lang w:val="en-US"/>
        </w:rPr>
      </w:pPr>
      <w:r>
        <w:rPr>
          <w:rFonts w:cstheme="minorHAnsi"/>
          <w:sz w:val="18"/>
          <w:szCs w:val="18"/>
          <w:lang w:val="en-US"/>
        </w:rPr>
        <w:fldChar w:fldCharType="end"/>
      </w:r>
    </w:p>
    <w:sectPr w:rsidR="00F34536" w:rsidRPr="00FA37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F76CE" w14:textId="77777777" w:rsidR="00D20D79" w:rsidRDefault="00D20D79" w:rsidP="00DD50BB">
      <w:pPr>
        <w:spacing w:after="0" w:line="240" w:lineRule="auto"/>
      </w:pPr>
      <w:r>
        <w:separator/>
      </w:r>
    </w:p>
  </w:endnote>
  <w:endnote w:type="continuationSeparator" w:id="0">
    <w:p w14:paraId="13809399" w14:textId="77777777" w:rsidR="00D20D79" w:rsidRDefault="00D20D79" w:rsidP="00DD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4DD73" w14:textId="77777777" w:rsidR="00D20D79" w:rsidRDefault="00D20D79" w:rsidP="00DD50BB">
      <w:pPr>
        <w:spacing w:after="0" w:line="240" w:lineRule="auto"/>
      </w:pPr>
      <w:r>
        <w:separator/>
      </w:r>
    </w:p>
  </w:footnote>
  <w:footnote w:type="continuationSeparator" w:id="0">
    <w:p w14:paraId="31E7C0F3" w14:textId="77777777" w:rsidR="00D20D79" w:rsidRDefault="00D20D79" w:rsidP="00DD5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25F1E"/>
    <w:multiLevelType w:val="hybridMultilevel"/>
    <w:tmpl w:val="BB145D72"/>
    <w:lvl w:ilvl="0" w:tplc="6AFA9258">
      <w:start w:val="1"/>
      <w:numFmt w:val="lowerLetter"/>
      <w:lvlText w:val="%1)"/>
      <w:lvlJc w:val="left"/>
      <w:pPr>
        <w:ind w:left="8299" w:hanging="360"/>
      </w:pPr>
      <w:rPr>
        <w:rFonts w:asciiTheme="minorHAnsi" w:eastAsiaTheme="minorHAnsi" w:hAnsiTheme="minorHAnsi" w:cstheme="minorHAnsi"/>
        <w:color w:val="auto"/>
      </w:rPr>
    </w:lvl>
    <w:lvl w:ilvl="1" w:tplc="04100019" w:tentative="1">
      <w:start w:val="1"/>
      <w:numFmt w:val="lowerLetter"/>
      <w:lvlText w:val="%2."/>
      <w:lvlJc w:val="left"/>
      <w:pPr>
        <w:ind w:left="9019" w:hanging="360"/>
      </w:pPr>
    </w:lvl>
    <w:lvl w:ilvl="2" w:tplc="0410001B" w:tentative="1">
      <w:start w:val="1"/>
      <w:numFmt w:val="lowerRoman"/>
      <w:lvlText w:val="%3."/>
      <w:lvlJc w:val="right"/>
      <w:pPr>
        <w:ind w:left="9739" w:hanging="180"/>
      </w:pPr>
    </w:lvl>
    <w:lvl w:ilvl="3" w:tplc="0410000F" w:tentative="1">
      <w:start w:val="1"/>
      <w:numFmt w:val="decimal"/>
      <w:lvlText w:val="%4."/>
      <w:lvlJc w:val="left"/>
      <w:pPr>
        <w:ind w:left="10459" w:hanging="360"/>
      </w:pPr>
    </w:lvl>
    <w:lvl w:ilvl="4" w:tplc="04100019" w:tentative="1">
      <w:start w:val="1"/>
      <w:numFmt w:val="lowerLetter"/>
      <w:lvlText w:val="%5."/>
      <w:lvlJc w:val="left"/>
      <w:pPr>
        <w:ind w:left="11179" w:hanging="360"/>
      </w:pPr>
    </w:lvl>
    <w:lvl w:ilvl="5" w:tplc="0410001B" w:tentative="1">
      <w:start w:val="1"/>
      <w:numFmt w:val="lowerRoman"/>
      <w:lvlText w:val="%6."/>
      <w:lvlJc w:val="right"/>
      <w:pPr>
        <w:ind w:left="11899" w:hanging="180"/>
      </w:pPr>
    </w:lvl>
    <w:lvl w:ilvl="6" w:tplc="0410000F" w:tentative="1">
      <w:start w:val="1"/>
      <w:numFmt w:val="decimal"/>
      <w:lvlText w:val="%7."/>
      <w:lvlJc w:val="left"/>
      <w:pPr>
        <w:ind w:left="12619" w:hanging="360"/>
      </w:pPr>
    </w:lvl>
    <w:lvl w:ilvl="7" w:tplc="04100019" w:tentative="1">
      <w:start w:val="1"/>
      <w:numFmt w:val="lowerLetter"/>
      <w:lvlText w:val="%8."/>
      <w:lvlJc w:val="left"/>
      <w:pPr>
        <w:ind w:left="13339" w:hanging="360"/>
      </w:pPr>
    </w:lvl>
    <w:lvl w:ilvl="8" w:tplc="0410001B" w:tentative="1">
      <w:start w:val="1"/>
      <w:numFmt w:val="lowerRoman"/>
      <w:lvlText w:val="%9."/>
      <w:lvlJc w:val="right"/>
      <w:pPr>
        <w:ind w:left="14059" w:hanging="180"/>
      </w:pPr>
    </w:lvl>
  </w:abstractNum>
  <w:num w:numId="1" w16cid:durableId="1211305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BB"/>
    <w:rsid w:val="00003352"/>
    <w:rsid w:val="00014E06"/>
    <w:rsid w:val="000170F3"/>
    <w:rsid w:val="00025BC3"/>
    <w:rsid w:val="00026F40"/>
    <w:rsid w:val="0004673E"/>
    <w:rsid w:val="000A02CD"/>
    <w:rsid w:val="000B06D0"/>
    <w:rsid w:val="000D56F4"/>
    <w:rsid w:val="000D6001"/>
    <w:rsid w:val="00125433"/>
    <w:rsid w:val="00164176"/>
    <w:rsid w:val="001B3EF1"/>
    <w:rsid w:val="001D626A"/>
    <w:rsid w:val="002339A1"/>
    <w:rsid w:val="002358AC"/>
    <w:rsid w:val="00244B89"/>
    <w:rsid w:val="002A168C"/>
    <w:rsid w:val="002D6257"/>
    <w:rsid w:val="002F3D23"/>
    <w:rsid w:val="0031350B"/>
    <w:rsid w:val="003863A6"/>
    <w:rsid w:val="003A72B7"/>
    <w:rsid w:val="003B0E04"/>
    <w:rsid w:val="003B42F0"/>
    <w:rsid w:val="003E382F"/>
    <w:rsid w:val="00411576"/>
    <w:rsid w:val="004213F8"/>
    <w:rsid w:val="00423AC2"/>
    <w:rsid w:val="004457E4"/>
    <w:rsid w:val="0045041E"/>
    <w:rsid w:val="00462ED7"/>
    <w:rsid w:val="004A0EE2"/>
    <w:rsid w:val="004A4DF4"/>
    <w:rsid w:val="004E173F"/>
    <w:rsid w:val="004E3617"/>
    <w:rsid w:val="004F5A78"/>
    <w:rsid w:val="00555F7B"/>
    <w:rsid w:val="00571A58"/>
    <w:rsid w:val="005A2335"/>
    <w:rsid w:val="005E2AA2"/>
    <w:rsid w:val="00606D61"/>
    <w:rsid w:val="00652A6A"/>
    <w:rsid w:val="006C4D0E"/>
    <w:rsid w:val="006F7F02"/>
    <w:rsid w:val="00744923"/>
    <w:rsid w:val="00763FD8"/>
    <w:rsid w:val="00765701"/>
    <w:rsid w:val="00775644"/>
    <w:rsid w:val="007833AF"/>
    <w:rsid w:val="007B7974"/>
    <w:rsid w:val="007D7407"/>
    <w:rsid w:val="007F333F"/>
    <w:rsid w:val="00801513"/>
    <w:rsid w:val="008652D6"/>
    <w:rsid w:val="0088592A"/>
    <w:rsid w:val="008B1053"/>
    <w:rsid w:val="008B5A75"/>
    <w:rsid w:val="008E3FE1"/>
    <w:rsid w:val="00905E03"/>
    <w:rsid w:val="00945527"/>
    <w:rsid w:val="009765AE"/>
    <w:rsid w:val="00980E78"/>
    <w:rsid w:val="009A3543"/>
    <w:rsid w:val="009B3696"/>
    <w:rsid w:val="009F71C4"/>
    <w:rsid w:val="00A00B9F"/>
    <w:rsid w:val="00A0651B"/>
    <w:rsid w:val="00AE401F"/>
    <w:rsid w:val="00B22B6A"/>
    <w:rsid w:val="00B97259"/>
    <w:rsid w:val="00BD4047"/>
    <w:rsid w:val="00C26C2C"/>
    <w:rsid w:val="00C62A76"/>
    <w:rsid w:val="00C75EC9"/>
    <w:rsid w:val="00CB2A20"/>
    <w:rsid w:val="00D0038C"/>
    <w:rsid w:val="00D20D79"/>
    <w:rsid w:val="00D35E24"/>
    <w:rsid w:val="00D75070"/>
    <w:rsid w:val="00D837ED"/>
    <w:rsid w:val="00D92784"/>
    <w:rsid w:val="00DD50BB"/>
    <w:rsid w:val="00DF0AA4"/>
    <w:rsid w:val="00DF325E"/>
    <w:rsid w:val="00E002F8"/>
    <w:rsid w:val="00E01124"/>
    <w:rsid w:val="00E03854"/>
    <w:rsid w:val="00E605C6"/>
    <w:rsid w:val="00E64AD7"/>
    <w:rsid w:val="00E65A1C"/>
    <w:rsid w:val="00E91839"/>
    <w:rsid w:val="00EC604C"/>
    <w:rsid w:val="00F00957"/>
    <w:rsid w:val="00F10E1D"/>
    <w:rsid w:val="00F27E1F"/>
    <w:rsid w:val="00F34536"/>
    <w:rsid w:val="00F37046"/>
    <w:rsid w:val="00F71A62"/>
    <w:rsid w:val="00F71C78"/>
    <w:rsid w:val="00FA3700"/>
    <w:rsid w:val="00FB267F"/>
    <w:rsid w:val="00FC75FB"/>
    <w:rsid w:val="00FE3F28"/>
    <w:rsid w:val="00FE61C5"/>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78297"/>
  <w15:chartTrackingRefBased/>
  <w15:docId w15:val="{2754337C-E088-49F9-A8D3-7031A7F1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0BB"/>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0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50BB"/>
    <w:rPr>
      <w:lang w:val="fr-FR"/>
    </w:rPr>
  </w:style>
  <w:style w:type="paragraph" w:styleId="Footer">
    <w:name w:val="footer"/>
    <w:basedOn w:val="Normal"/>
    <w:link w:val="FooterChar"/>
    <w:uiPriority w:val="99"/>
    <w:unhideWhenUsed/>
    <w:rsid w:val="00DD50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50BB"/>
    <w:rPr>
      <w:lang w:val="fr-FR"/>
    </w:rPr>
  </w:style>
  <w:style w:type="paragraph" w:styleId="ListParagraph">
    <w:name w:val="List Paragraph"/>
    <w:basedOn w:val="Normal"/>
    <w:uiPriority w:val="34"/>
    <w:qFormat/>
    <w:rsid w:val="00DD50BB"/>
    <w:pPr>
      <w:ind w:left="720"/>
      <w:contextualSpacing/>
    </w:pPr>
  </w:style>
  <w:style w:type="paragraph" w:styleId="Caption">
    <w:name w:val="caption"/>
    <w:basedOn w:val="Normal"/>
    <w:next w:val="Normal"/>
    <w:unhideWhenUsed/>
    <w:qFormat/>
    <w:rsid w:val="00D75070"/>
    <w:pPr>
      <w:spacing w:after="0" w:line="240" w:lineRule="auto"/>
    </w:pPr>
    <w:rPr>
      <w:rFonts w:ascii="Times New Roman" w:eastAsia="Times New Roman" w:hAnsi="Times New Roman" w:cs="Times New Roman"/>
      <w:b/>
      <w:bCs/>
      <w:sz w:val="20"/>
      <w:szCs w:val="20"/>
      <w:lang w:val="it-IT" w:eastAsia="it-IT"/>
    </w:rPr>
  </w:style>
  <w:style w:type="paragraph" w:styleId="FootnoteText">
    <w:name w:val="footnote text"/>
    <w:basedOn w:val="Normal"/>
    <w:link w:val="FootnoteTextChar"/>
    <w:rsid w:val="00F34536"/>
    <w:pPr>
      <w:spacing w:after="0" w:line="240" w:lineRule="auto"/>
    </w:pPr>
    <w:rPr>
      <w:rFonts w:ascii="Times New Roman" w:eastAsia="Times New Roman" w:hAnsi="Times New Roman" w:cs="Times New Roman"/>
      <w:sz w:val="20"/>
      <w:szCs w:val="20"/>
      <w:lang w:val="it-IT" w:eastAsia="it-IT"/>
    </w:rPr>
  </w:style>
  <w:style w:type="character" w:customStyle="1" w:styleId="FootnoteTextChar">
    <w:name w:val="Footnote Text Char"/>
    <w:basedOn w:val="DefaultParagraphFont"/>
    <w:link w:val="FootnoteText"/>
    <w:rsid w:val="00F34536"/>
    <w:rPr>
      <w:rFonts w:ascii="Times New Roman" w:eastAsia="Times New Roman" w:hAnsi="Times New Roman" w:cs="Times New Roman"/>
      <w:sz w:val="20"/>
      <w:szCs w:val="20"/>
      <w:lang w:val="it-IT" w:eastAsia="it-IT"/>
    </w:rPr>
  </w:style>
  <w:style w:type="character" w:styleId="FootnoteReference">
    <w:name w:val="footnote reference"/>
    <w:rsid w:val="00F34536"/>
    <w:rPr>
      <w:vertAlign w:val="superscript"/>
    </w:rPr>
  </w:style>
  <w:style w:type="paragraph" w:styleId="Bibliography">
    <w:name w:val="Bibliography"/>
    <w:basedOn w:val="Normal"/>
    <w:next w:val="Normal"/>
    <w:uiPriority w:val="37"/>
    <w:unhideWhenUsed/>
    <w:rsid w:val="00D837ED"/>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44621">
      <w:bodyDiv w:val="1"/>
      <w:marLeft w:val="0"/>
      <w:marRight w:val="0"/>
      <w:marTop w:val="0"/>
      <w:marBottom w:val="0"/>
      <w:divBdr>
        <w:top w:val="none" w:sz="0" w:space="0" w:color="auto"/>
        <w:left w:val="none" w:sz="0" w:space="0" w:color="auto"/>
        <w:bottom w:val="none" w:sz="0" w:space="0" w:color="auto"/>
        <w:right w:val="none" w:sz="0" w:space="0" w:color="auto"/>
      </w:divBdr>
    </w:div>
    <w:div w:id="208024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2087</Words>
  <Characters>11896</Characters>
  <Application>Microsoft Office Word</Application>
  <DocSecurity>0</DocSecurity>
  <Lines>99</Lines>
  <Paragraphs>27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Baranyai Zsolt</dc:creator>
  <cp:keywords/>
  <dc:description/>
  <cp:lastModifiedBy>madalina ranga</cp:lastModifiedBy>
  <cp:revision>4</cp:revision>
  <cp:lastPrinted>2026-01-22T14:27:00Z</cp:lastPrinted>
  <dcterms:created xsi:type="dcterms:W3CDTF">2026-01-22T17:45:00Z</dcterms:created>
  <dcterms:modified xsi:type="dcterms:W3CDTF">2026-07-28T11:02:00Z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2fefa67e194d26aa254054a8db712cf6902f9fcfc51b0e9abd3935c700a99deb</vt:lpwstr>
  </property>
  <property fmtid="{D5CDD505-2E9C-101B-9397-08002B2CF9AE}" pid="3" name="ZOTERO_PREF_1">
    <vt:lpwstr>&lt;data data-version="3" zotero-version="7.0.32"&gt;&lt;session id="2mz33aok"/&gt;&lt;style id="http://www.zotero.org/styles/angewandte-chemie" hasBibliography="1" bibliographyStyleHasBeenSet="1"/&gt;&lt;prefs&gt;&lt;pref name="fieldType" value="Field"/&gt;&lt;/prefs&gt;&lt;/data&gt;</vt:lpwstr>
  </property>
</Properties>
</file>