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E4907EF" w14:textId="47F7205B" w:rsidR="006155C0" w:rsidRDefault="007A5D5B" w:rsidP="006155C0">
      <w:pPr>
        <w:pBdr>
          <w:top w:val="nil"/>
          <w:left w:val="nil"/>
          <w:bottom w:val="nil"/>
          <w:right w:val="nil"/>
          <w:between w:val="nil"/>
        </w:pBdr>
        <w:spacing w:before="360" w:after="360"/>
        <w:ind w:right="15"/>
        <w:jc w:val="center"/>
        <w:rPr>
          <w:rFonts w:ascii="Arial" w:eastAsia="Arial" w:hAnsi="Arial" w:cs="Arial"/>
          <w:b/>
          <w:color w:val="000000"/>
          <w:sz w:val="32"/>
          <w:szCs w:val="32"/>
        </w:rPr>
      </w:pPr>
      <w:r>
        <w:rPr>
          <w:rFonts w:ascii="Arial" w:eastAsia="Arial" w:hAnsi="Arial" w:cs="Arial"/>
          <w:b/>
          <w:color w:val="000000"/>
          <w:sz w:val="32"/>
          <w:szCs w:val="32"/>
        </w:rPr>
        <w:t xml:space="preserve">DELEVELOPMENT OF </w:t>
      </w:r>
      <w:r w:rsidR="006155C0" w:rsidRPr="006155C0">
        <w:rPr>
          <w:rFonts w:ascii="Arial" w:eastAsia="Arial" w:hAnsi="Arial" w:cs="Arial"/>
          <w:b/>
          <w:color w:val="000000"/>
          <w:sz w:val="32"/>
          <w:szCs w:val="32"/>
        </w:rPr>
        <w:t xml:space="preserve">NMR </w:t>
      </w:r>
      <w:r>
        <w:rPr>
          <w:rFonts w:ascii="Arial" w:eastAsia="Arial" w:hAnsi="Arial" w:cs="Arial"/>
          <w:b/>
          <w:color w:val="000000"/>
          <w:sz w:val="32"/>
          <w:szCs w:val="32"/>
        </w:rPr>
        <w:t>METHODOLOG</w:t>
      </w:r>
      <w:r w:rsidR="00376944">
        <w:rPr>
          <w:rFonts w:ascii="Arial" w:eastAsia="Arial" w:hAnsi="Arial" w:cs="Arial"/>
          <w:b/>
          <w:color w:val="000000"/>
          <w:sz w:val="32"/>
          <w:szCs w:val="32"/>
        </w:rPr>
        <w:t>IES</w:t>
      </w:r>
      <w:r>
        <w:rPr>
          <w:rFonts w:ascii="Arial" w:eastAsia="Arial" w:hAnsi="Arial" w:cs="Arial"/>
          <w:b/>
          <w:color w:val="000000"/>
          <w:sz w:val="32"/>
          <w:szCs w:val="32"/>
        </w:rPr>
        <w:t xml:space="preserve"> FOR </w:t>
      </w:r>
      <w:r w:rsidR="006155C0" w:rsidRPr="006155C0">
        <w:rPr>
          <w:rFonts w:ascii="Arial" w:eastAsia="Arial" w:hAnsi="Arial" w:cs="Arial"/>
          <w:b/>
          <w:color w:val="000000"/>
          <w:sz w:val="32"/>
          <w:szCs w:val="32"/>
        </w:rPr>
        <w:t xml:space="preserve">FINGERPRINTING OF </w:t>
      </w:r>
      <w:r>
        <w:rPr>
          <w:rFonts w:ascii="Arial" w:eastAsia="Arial" w:hAnsi="Arial" w:cs="Arial"/>
          <w:b/>
          <w:color w:val="000000"/>
          <w:sz w:val="32"/>
          <w:szCs w:val="32"/>
        </w:rPr>
        <w:t>NEUROLOGICAL DISEASE</w:t>
      </w:r>
      <w:r w:rsidR="00871A12">
        <w:rPr>
          <w:rFonts w:ascii="Arial" w:eastAsia="Arial" w:hAnsi="Arial" w:cs="Arial"/>
          <w:b/>
          <w:color w:val="000000"/>
          <w:sz w:val="32"/>
          <w:szCs w:val="32"/>
        </w:rPr>
        <w:t>S:</w:t>
      </w:r>
      <w:r w:rsidR="006155C0" w:rsidRPr="006155C0">
        <w:rPr>
          <w:rFonts w:ascii="Arial" w:eastAsia="Arial" w:hAnsi="Arial" w:cs="Arial"/>
          <w:b/>
          <w:color w:val="000000"/>
          <w:sz w:val="32"/>
          <w:szCs w:val="32"/>
        </w:rPr>
        <w:t xml:space="preserve"> </w:t>
      </w:r>
      <w:r w:rsidR="006155C0">
        <w:rPr>
          <w:rFonts w:ascii="Arial" w:eastAsia="Arial" w:hAnsi="Arial" w:cs="Arial"/>
          <w:b/>
          <w:color w:val="000000"/>
          <w:sz w:val="32"/>
          <w:szCs w:val="32"/>
        </w:rPr>
        <w:t>ALPHA-SYNUCLEIN</w:t>
      </w:r>
      <w:r w:rsidR="00871A12">
        <w:rPr>
          <w:rFonts w:ascii="Arial" w:eastAsia="Arial" w:hAnsi="Arial" w:cs="Arial"/>
          <w:b/>
          <w:color w:val="000000"/>
          <w:sz w:val="32"/>
          <w:szCs w:val="32"/>
        </w:rPr>
        <w:t xml:space="preserve"> AS A CASE STUDY.</w:t>
      </w:r>
    </w:p>
    <w:p w14:paraId="04F30804" w14:textId="28795BBA" w:rsidR="005A4ED6" w:rsidRPr="005A4ED6" w:rsidRDefault="005A4ED6" w:rsidP="005A4ED6">
      <w:pPr>
        <w:pBdr>
          <w:top w:val="nil"/>
          <w:left w:val="nil"/>
          <w:bottom w:val="nil"/>
          <w:right w:val="nil"/>
          <w:between w:val="nil"/>
        </w:pBdr>
        <w:ind w:right="17"/>
        <w:jc w:val="center"/>
        <w:rPr>
          <w:rFonts w:ascii="Arial" w:eastAsia="Arial" w:hAnsi="Arial" w:cs="Arial"/>
          <w:b/>
        </w:rPr>
      </w:pPr>
      <w:r w:rsidRPr="005A4ED6">
        <w:rPr>
          <w:rFonts w:ascii="Arial" w:eastAsia="Arial" w:hAnsi="Arial" w:cs="Arial"/>
          <w:b/>
        </w:rPr>
        <w:t>Linda Cerofolini</w:t>
      </w:r>
      <w:r w:rsidRPr="005A4ED6">
        <w:rPr>
          <w:rFonts w:ascii="Arial" w:eastAsia="Arial" w:hAnsi="Arial" w:cs="Arial"/>
          <w:b/>
          <w:vertAlign w:val="superscript"/>
        </w:rPr>
        <w:t>1</w:t>
      </w:r>
      <w:r w:rsidR="009C6618">
        <w:rPr>
          <w:rFonts w:ascii="Arial" w:eastAsia="Arial" w:hAnsi="Arial" w:cs="Arial"/>
          <w:b/>
          <w:vertAlign w:val="superscript"/>
        </w:rPr>
        <w:t>*</w:t>
      </w:r>
      <w:r>
        <w:rPr>
          <w:rFonts w:ascii="Arial" w:eastAsia="Arial" w:hAnsi="Arial" w:cs="Arial"/>
          <w:b/>
        </w:rPr>
        <w:t>,</w:t>
      </w:r>
      <w:r>
        <w:rPr>
          <w:rFonts w:ascii="Arial" w:eastAsia="Arial" w:hAnsi="Arial" w:cs="Arial"/>
          <w:b/>
          <w:vertAlign w:val="superscript"/>
        </w:rPr>
        <w:t xml:space="preserve"> </w:t>
      </w:r>
      <w:r w:rsidRPr="005A4ED6">
        <w:rPr>
          <w:rFonts w:ascii="Arial" w:eastAsia="Arial" w:hAnsi="Arial" w:cs="Arial"/>
          <w:b/>
        </w:rPr>
        <w:t>Arianna Ciullini</w:t>
      </w:r>
      <w:r w:rsidRPr="005A4ED6">
        <w:rPr>
          <w:rFonts w:ascii="Arial" w:eastAsia="Arial" w:hAnsi="Arial" w:cs="Arial"/>
          <w:b/>
          <w:vertAlign w:val="superscript"/>
        </w:rPr>
        <w:t>2</w:t>
      </w:r>
      <w:r w:rsidRPr="005A4ED6">
        <w:rPr>
          <w:rFonts w:ascii="Arial" w:eastAsia="Arial" w:hAnsi="Arial" w:cs="Arial"/>
          <w:b/>
        </w:rPr>
        <w:t>, Merve Begum Bacinoglu</w:t>
      </w:r>
      <w:r w:rsidRPr="005A4ED6">
        <w:rPr>
          <w:rFonts w:ascii="Arial" w:eastAsia="Arial" w:hAnsi="Arial" w:cs="Arial"/>
          <w:b/>
          <w:vertAlign w:val="superscript"/>
        </w:rPr>
        <w:t>2</w:t>
      </w:r>
      <w:r w:rsidRPr="005A4ED6">
        <w:rPr>
          <w:rFonts w:ascii="Arial" w:eastAsia="Arial" w:hAnsi="Arial" w:cs="Arial"/>
          <w:b/>
        </w:rPr>
        <w:t>, Annalisa Lombardo</w:t>
      </w:r>
      <w:r w:rsidRPr="005A4ED6">
        <w:rPr>
          <w:rFonts w:ascii="Arial" w:eastAsia="Arial" w:hAnsi="Arial" w:cs="Arial"/>
          <w:b/>
          <w:vertAlign w:val="superscript"/>
        </w:rPr>
        <w:t>2</w:t>
      </w:r>
      <w:r w:rsidRPr="005A4ED6">
        <w:rPr>
          <w:rFonts w:ascii="Arial" w:eastAsia="Arial" w:hAnsi="Arial" w:cs="Arial"/>
          <w:b/>
        </w:rPr>
        <w:t>, Rachele Domina</w:t>
      </w:r>
      <w:r w:rsidRPr="005A4ED6">
        <w:rPr>
          <w:rFonts w:ascii="Arial" w:eastAsia="Arial" w:hAnsi="Arial" w:cs="Arial"/>
          <w:b/>
          <w:vertAlign w:val="superscript"/>
        </w:rPr>
        <w:t>2</w:t>
      </w:r>
      <w:r w:rsidRPr="005A4ED6">
        <w:rPr>
          <w:rFonts w:ascii="Arial" w:eastAsia="Arial" w:hAnsi="Arial" w:cs="Arial"/>
          <w:b/>
        </w:rPr>
        <w:t>, Floriana Bellandi</w:t>
      </w:r>
      <w:r w:rsidRPr="005A4ED6">
        <w:rPr>
          <w:rFonts w:ascii="Arial" w:eastAsia="Arial" w:hAnsi="Arial" w:cs="Arial"/>
          <w:b/>
          <w:vertAlign w:val="superscript"/>
        </w:rPr>
        <w:t>2</w:t>
      </w:r>
      <w:r w:rsidRPr="005A4ED6">
        <w:rPr>
          <w:rFonts w:ascii="Arial" w:eastAsia="Arial" w:hAnsi="Arial" w:cs="Arial"/>
          <w:b/>
        </w:rPr>
        <w:t>, Alice Russotto</w:t>
      </w:r>
      <w:r w:rsidRPr="005A4ED6">
        <w:rPr>
          <w:rFonts w:ascii="Arial" w:eastAsia="Arial" w:hAnsi="Arial" w:cs="Arial"/>
          <w:b/>
          <w:vertAlign w:val="superscript"/>
        </w:rPr>
        <w:t>3</w:t>
      </w:r>
      <w:r w:rsidRPr="005A4ED6">
        <w:rPr>
          <w:rFonts w:ascii="Arial" w:eastAsia="Arial" w:hAnsi="Arial" w:cs="Arial"/>
          <w:b/>
        </w:rPr>
        <w:t>, Sara Adriana Della Seta</w:t>
      </w:r>
      <w:r>
        <w:rPr>
          <w:rFonts w:ascii="Arial" w:eastAsia="Arial" w:hAnsi="Arial" w:cs="Arial"/>
          <w:b/>
          <w:vertAlign w:val="superscript"/>
        </w:rPr>
        <w:t>2</w:t>
      </w:r>
      <w:r w:rsidRPr="005A4ED6">
        <w:rPr>
          <w:rFonts w:ascii="Arial" w:eastAsia="Arial" w:hAnsi="Arial" w:cs="Arial"/>
          <w:b/>
        </w:rPr>
        <w:t>, Valentina Margiotta</w:t>
      </w:r>
      <w:r>
        <w:rPr>
          <w:rFonts w:ascii="Arial" w:eastAsia="Arial" w:hAnsi="Arial" w:cs="Arial"/>
          <w:b/>
          <w:vertAlign w:val="superscript"/>
        </w:rPr>
        <w:t>2</w:t>
      </w:r>
      <w:r w:rsidRPr="005A4ED6">
        <w:rPr>
          <w:rFonts w:ascii="Arial" w:eastAsia="Arial" w:hAnsi="Arial" w:cs="Arial"/>
          <w:b/>
        </w:rPr>
        <w:t>, Tommaso Staderini</w:t>
      </w:r>
      <w:r w:rsidRPr="005A4ED6">
        <w:rPr>
          <w:rFonts w:ascii="Arial" w:eastAsia="Arial" w:hAnsi="Arial" w:cs="Arial"/>
          <w:b/>
          <w:vertAlign w:val="superscript"/>
        </w:rPr>
        <w:t>1</w:t>
      </w:r>
      <w:r w:rsidRPr="005A4ED6">
        <w:rPr>
          <w:rFonts w:ascii="Arial" w:eastAsia="Arial" w:hAnsi="Arial" w:cs="Arial"/>
          <w:b/>
        </w:rPr>
        <w:t>, Bianca Susini</w:t>
      </w:r>
      <w:r>
        <w:rPr>
          <w:rFonts w:ascii="Arial" w:eastAsia="Arial" w:hAnsi="Arial" w:cs="Arial"/>
          <w:b/>
          <w:vertAlign w:val="superscript"/>
        </w:rPr>
        <w:t>1</w:t>
      </w:r>
      <w:r w:rsidRPr="005A4ED6">
        <w:rPr>
          <w:rFonts w:ascii="Arial" w:eastAsia="Arial" w:hAnsi="Arial" w:cs="Arial"/>
          <w:b/>
        </w:rPr>
        <w:t>, Gianfranco Gaudiano</w:t>
      </w:r>
      <w:r w:rsidRPr="005A4ED6">
        <w:rPr>
          <w:rFonts w:ascii="Arial" w:eastAsia="Arial" w:hAnsi="Arial" w:cs="Arial"/>
          <w:b/>
          <w:vertAlign w:val="superscript"/>
        </w:rPr>
        <w:t>2</w:t>
      </w:r>
      <w:r w:rsidRPr="005A4ED6">
        <w:rPr>
          <w:rFonts w:ascii="Arial" w:eastAsia="Arial" w:hAnsi="Arial" w:cs="Arial"/>
          <w:b/>
        </w:rPr>
        <w:t>, Roberta Telese</w:t>
      </w:r>
      <w:r w:rsidRPr="005A4ED6">
        <w:rPr>
          <w:rFonts w:ascii="Arial" w:eastAsia="Arial" w:hAnsi="Arial" w:cs="Arial"/>
          <w:b/>
          <w:vertAlign w:val="superscript"/>
        </w:rPr>
        <w:t>2</w:t>
      </w:r>
      <w:r w:rsidRPr="005A4ED6">
        <w:rPr>
          <w:rFonts w:ascii="Arial" w:eastAsia="Arial" w:hAnsi="Arial" w:cs="Arial"/>
          <w:b/>
        </w:rPr>
        <w:t>, Fabiana Colucci</w:t>
      </w:r>
      <w:r w:rsidRPr="005A4ED6">
        <w:rPr>
          <w:rFonts w:ascii="Arial" w:eastAsia="Arial" w:hAnsi="Arial" w:cs="Arial"/>
          <w:b/>
          <w:vertAlign w:val="superscript"/>
        </w:rPr>
        <w:t>7</w:t>
      </w:r>
      <w:r w:rsidRPr="005A4ED6">
        <w:rPr>
          <w:rFonts w:ascii="Arial" w:eastAsia="Arial" w:hAnsi="Arial" w:cs="Arial"/>
          <w:b/>
        </w:rPr>
        <w:t>, Alessia Catania</w:t>
      </w:r>
      <w:r w:rsidRPr="005A4ED6">
        <w:rPr>
          <w:rFonts w:ascii="Arial" w:eastAsia="Arial" w:hAnsi="Arial" w:cs="Arial"/>
          <w:b/>
          <w:vertAlign w:val="superscript"/>
        </w:rPr>
        <w:t>2</w:t>
      </w:r>
      <w:r w:rsidRPr="005A4ED6">
        <w:rPr>
          <w:rFonts w:ascii="Arial" w:eastAsia="Arial" w:hAnsi="Arial" w:cs="Arial"/>
          <w:b/>
        </w:rPr>
        <w:t>, Valentina Leta</w:t>
      </w:r>
      <w:r w:rsidRPr="005A4ED6">
        <w:rPr>
          <w:rFonts w:ascii="Arial" w:eastAsia="Arial" w:hAnsi="Arial" w:cs="Arial"/>
          <w:b/>
          <w:vertAlign w:val="superscript"/>
        </w:rPr>
        <w:t>7</w:t>
      </w:r>
      <w:r w:rsidRPr="005A4ED6">
        <w:rPr>
          <w:rFonts w:ascii="Arial" w:eastAsia="Arial" w:hAnsi="Arial" w:cs="Arial"/>
          <w:b/>
        </w:rPr>
        <w:t>, Riccardo Pascuzzo</w:t>
      </w:r>
      <w:r w:rsidRPr="005A4ED6">
        <w:rPr>
          <w:rFonts w:ascii="Arial" w:eastAsia="Arial" w:hAnsi="Arial" w:cs="Arial"/>
          <w:b/>
          <w:vertAlign w:val="superscript"/>
        </w:rPr>
        <w:t>2</w:t>
      </w:r>
      <w:r w:rsidRPr="005A4ED6">
        <w:rPr>
          <w:rFonts w:ascii="Arial" w:eastAsia="Arial" w:hAnsi="Arial" w:cs="Arial"/>
          <w:b/>
        </w:rPr>
        <w:t>, Federico Angelo Cazzaniga</w:t>
      </w:r>
      <w:r w:rsidRPr="005A4ED6">
        <w:rPr>
          <w:rFonts w:ascii="Arial" w:eastAsia="Arial" w:hAnsi="Arial" w:cs="Arial"/>
          <w:b/>
          <w:vertAlign w:val="superscript"/>
        </w:rPr>
        <w:t>2</w:t>
      </w:r>
      <w:r w:rsidR="00407C1B">
        <w:rPr>
          <w:rFonts w:ascii="Arial" w:eastAsia="Arial" w:hAnsi="Arial" w:cs="Arial"/>
          <w:b/>
        </w:rPr>
        <w:t>,</w:t>
      </w:r>
      <w:r w:rsidRPr="005A4ED6">
        <w:rPr>
          <w:rFonts w:ascii="Arial" w:eastAsia="Arial" w:hAnsi="Arial" w:cs="Arial"/>
          <w:b/>
        </w:rPr>
        <w:t xml:space="preserve"> Claudia Saraceno</w:t>
      </w:r>
      <w:r w:rsidRPr="005A4ED6">
        <w:rPr>
          <w:rFonts w:ascii="Arial" w:eastAsia="Arial" w:hAnsi="Arial" w:cs="Arial"/>
          <w:b/>
          <w:vertAlign w:val="superscript"/>
        </w:rPr>
        <w:t>3</w:t>
      </w:r>
      <w:r w:rsidRPr="005A4ED6">
        <w:rPr>
          <w:rFonts w:ascii="Arial" w:eastAsia="Arial" w:hAnsi="Arial" w:cs="Arial"/>
          <w:b/>
        </w:rPr>
        <w:t>, Samanta Mazzetti</w:t>
      </w:r>
      <w:r>
        <w:rPr>
          <w:rFonts w:ascii="Arial" w:eastAsia="Arial" w:hAnsi="Arial" w:cs="Arial"/>
          <w:b/>
          <w:vertAlign w:val="superscript"/>
        </w:rPr>
        <w:t>2</w:t>
      </w:r>
      <w:r w:rsidRPr="005A4ED6">
        <w:rPr>
          <w:rFonts w:ascii="Arial" w:eastAsia="Arial" w:hAnsi="Arial" w:cs="Arial"/>
          <w:b/>
        </w:rPr>
        <w:t>, Sara Maria Silvia Portaleone</w:t>
      </w:r>
      <w:r w:rsidRPr="005A4ED6">
        <w:rPr>
          <w:rFonts w:ascii="Arial" w:eastAsia="Arial" w:hAnsi="Arial" w:cs="Arial"/>
          <w:b/>
          <w:vertAlign w:val="superscript"/>
        </w:rPr>
        <w:t>4</w:t>
      </w:r>
      <w:r w:rsidRPr="005A4ED6">
        <w:rPr>
          <w:rFonts w:ascii="Arial" w:eastAsia="Arial" w:hAnsi="Arial" w:cs="Arial"/>
          <w:b/>
        </w:rPr>
        <w:t>, Roberto Cilia</w:t>
      </w:r>
      <w:r w:rsidRPr="005A4ED6">
        <w:rPr>
          <w:rFonts w:ascii="Arial" w:eastAsia="Arial" w:hAnsi="Arial" w:cs="Arial"/>
          <w:b/>
          <w:vertAlign w:val="superscript"/>
        </w:rPr>
        <w:t>2</w:t>
      </w:r>
      <w:r w:rsidRPr="005A4ED6">
        <w:rPr>
          <w:rFonts w:ascii="Arial" w:eastAsia="Arial" w:hAnsi="Arial" w:cs="Arial"/>
          <w:b/>
        </w:rPr>
        <w:t>, Antonio Emanuele Elia</w:t>
      </w:r>
      <w:r w:rsidRPr="005A4ED6">
        <w:rPr>
          <w:rFonts w:ascii="Arial" w:eastAsia="Arial" w:hAnsi="Arial" w:cs="Arial"/>
          <w:b/>
          <w:vertAlign w:val="superscript"/>
        </w:rPr>
        <w:t>2</w:t>
      </w:r>
      <w:r w:rsidRPr="005A4ED6">
        <w:rPr>
          <w:rFonts w:ascii="Arial" w:eastAsia="Arial" w:hAnsi="Arial" w:cs="Arial"/>
          <w:b/>
        </w:rPr>
        <w:t>, Grazia Devigili</w:t>
      </w:r>
      <w:r>
        <w:rPr>
          <w:rFonts w:ascii="Arial" w:eastAsia="Arial" w:hAnsi="Arial" w:cs="Arial"/>
          <w:b/>
          <w:vertAlign w:val="superscript"/>
        </w:rPr>
        <w:t>2</w:t>
      </w:r>
      <w:r w:rsidRPr="005A4ED6">
        <w:rPr>
          <w:rFonts w:ascii="Arial" w:eastAsia="Arial" w:hAnsi="Arial" w:cs="Arial"/>
          <w:b/>
        </w:rPr>
        <w:t>, Pietro Tiraboschi</w:t>
      </w:r>
      <w:r w:rsidRPr="005A4ED6">
        <w:rPr>
          <w:rFonts w:ascii="Arial" w:eastAsia="Arial" w:hAnsi="Arial" w:cs="Arial"/>
          <w:b/>
          <w:vertAlign w:val="superscript"/>
        </w:rPr>
        <w:t>2</w:t>
      </w:r>
      <w:r w:rsidRPr="005A4ED6">
        <w:rPr>
          <w:rFonts w:ascii="Arial" w:eastAsia="Arial" w:hAnsi="Arial" w:cs="Arial"/>
          <w:b/>
        </w:rPr>
        <w:t>, Marco Fragai</w:t>
      </w:r>
      <w:r w:rsidRPr="005A4ED6">
        <w:rPr>
          <w:rFonts w:ascii="Arial" w:eastAsia="Arial" w:hAnsi="Arial" w:cs="Arial"/>
          <w:b/>
          <w:vertAlign w:val="superscript"/>
        </w:rPr>
        <w:t>1</w:t>
      </w:r>
      <w:r w:rsidRPr="005A4ED6">
        <w:rPr>
          <w:rFonts w:ascii="Arial" w:eastAsia="Arial" w:hAnsi="Arial" w:cs="Arial"/>
          <w:b/>
        </w:rPr>
        <w:t>, Fabio Moda</w:t>
      </w:r>
      <w:r w:rsidRPr="005A4ED6">
        <w:rPr>
          <w:rFonts w:ascii="Arial" w:eastAsia="Arial" w:hAnsi="Arial" w:cs="Arial"/>
          <w:b/>
          <w:vertAlign w:val="superscript"/>
        </w:rPr>
        <w:t>5</w:t>
      </w:r>
    </w:p>
    <w:p w14:paraId="7A874077" w14:textId="77777777" w:rsidR="005A4ED6" w:rsidRPr="005A4ED6" w:rsidRDefault="005A4ED6" w:rsidP="005A4ED6">
      <w:pPr>
        <w:pBdr>
          <w:top w:val="nil"/>
          <w:left w:val="nil"/>
          <w:bottom w:val="nil"/>
          <w:right w:val="nil"/>
          <w:between w:val="nil"/>
        </w:pBdr>
        <w:ind w:right="17"/>
        <w:jc w:val="center"/>
        <w:rPr>
          <w:rFonts w:ascii="Arial" w:eastAsia="Arial" w:hAnsi="Arial" w:cs="Arial"/>
          <w:b/>
        </w:rPr>
      </w:pPr>
    </w:p>
    <w:p w14:paraId="31C10C38" w14:textId="77777777" w:rsidR="005A4ED6" w:rsidRPr="005A4ED6" w:rsidRDefault="005A4ED6" w:rsidP="005A4ED6">
      <w:pPr>
        <w:pBdr>
          <w:top w:val="nil"/>
          <w:left w:val="nil"/>
          <w:bottom w:val="nil"/>
          <w:right w:val="nil"/>
          <w:between w:val="nil"/>
        </w:pBdr>
        <w:ind w:right="17"/>
        <w:jc w:val="center"/>
        <w:rPr>
          <w:rFonts w:ascii="Arial" w:eastAsia="Arial" w:hAnsi="Arial" w:cs="Arial"/>
          <w:b/>
        </w:rPr>
      </w:pPr>
      <w:r w:rsidRPr="005A4ED6">
        <w:rPr>
          <w:rFonts w:ascii="Arial" w:eastAsia="Arial" w:hAnsi="Arial" w:cs="Arial"/>
          <w:b/>
        </w:rPr>
        <w:t xml:space="preserve"> </w:t>
      </w:r>
    </w:p>
    <w:p w14:paraId="394C0749" w14:textId="732420CB" w:rsidR="005A4ED6" w:rsidRPr="005A4ED6" w:rsidRDefault="005A4ED6" w:rsidP="005A4ED6">
      <w:pPr>
        <w:pBdr>
          <w:top w:val="nil"/>
          <w:left w:val="nil"/>
          <w:bottom w:val="nil"/>
          <w:right w:val="nil"/>
          <w:between w:val="nil"/>
        </w:pBdr>
        <w:ind w:right="17"/>
        <w:jc w:val="center"/>
        <w:rPr>
          <w:rFonts w:ascii="Arial" w:eastAsia="Arial" w:hAnsi="Arial" w:cs="Arial"/>
          <w:i/>
          <w:color w:val="000000"/>
        </w:rPr>
      </w:pPr>
      <w:r w:rsidRPr="005A4ED6">
        <w:rPr>
          <w:rFonts w:ascii="Arial" w:eastAsia="Arial" w:hAnsi="Arial" w:cs="Arial"/>
          <w:i/>
          <w:color w:val="000000"/>
          <w:vertAlign w:val="superscript"/>
        </w:rPr>
        <w:t>1</w:t>
      </w:r>
      <w:r w:rsidRPr="005A4ED6">
        <w:rPr>
          <w:rFonts w:ascii="Arial" w:eastAsia="Arial" w:hAnsi="Arial" w:cs="Arial"/>
          <w:i/>
          <w:color w:val="000000"/>
        </w:rPr>
        <w:t xml:space="preserve"> CERM</w:t>
      </w:r>
      <w:r>
        <w:rPr>
          <w:rFonts w:ascii="Arial" w:eastAsia="Arial" w:hAnsi="Arial" w:cs="Arial"/>
          <w:i/>
          <w:color w:val="000000"/>
        </w:rPr>
        <w:t>-CIRMMP and Department of Chemistry “Ugo Schiff”</w:t>
      </w:r>
      <w:r w:rsidRPr="005A4ED6">
        <w:rPr>
          <w:rFonts w:ascii="Arial" w:eastAsia="Arial" w:hAnsi="Arial" w:cs="Arial"/>
          <w:i/>
          <w:color w:val="000000"/>
        </w:rPr>
        <w:t>, University of Florence, Sesto Fiorentino, 50019 Florence, Italy</w:t>
      </w:r>
    </w:p>
    <w:p w14:paraId="55FE84E7" w14:textId="59C1C91E" w:rsidR="005A4ED6" w:rsidRPr="005A4ED6" w:rsidRDefault="005A4ED6" w:rsidP="005A4ED6">
      <w:pPr>
        <w:pBdr>
          <w:top w:val="nil"/>
          <w:left w:val="nil"/>
          <w:bottom w:val="nil"/>
          <w:right w:val="nil"/>
          <w:between w:val="nil"/>
        </w:pBdr>
        <w:ind w:right="17"/>
        <w:jc w:val="center"/>
        <w:rPr>
          <w:rFonts w:ascii="Arial" w:eastAsia="Arial" w:hAnsi="Arial" w:cs="Arial"/>
          <w:i/>
          <w:color w:val="000000"/>
        </w:rPr>
      </w:pPr>
      <w:r w:rsidRPr="005A4ED6">
        <w:rPr>
          <w:rFonts w:ascii="Arial" w:eastAsia="Arial" w:hAnsi="Arial" w:cs="Arial"/>
          <w:i/>
          <w:color w:val="000000"/>
          <w:vertAlign w:val="superscript"/>
        </w:rPr>
        <w:t>2</w:t>
      </w:r>
      <w:r w:rsidRPr="005A4ED6">
        <w:rPr>
          <w:rFonts w:ascii="Arial" w:eastAsia="Arial" w:hAnsi="Arial" w:cs="Arial"/>
          <w:i/>
          <w:color w:val="000000"/>
        </w:rPr>
        <w:t xml:space="preserve"> Fondazione IRCCS Istituto Neurologico Carlo Besta, Milan</w:t>
      </w:r>
    </w:p>
    <w:p w14:paraId="302A2B47" w14:textId="224D7760" w:rsidR="005A4ED6" w:rsidRPr="005A4ED6" w:rsidRDefault="005A4ED6" w:rsidP="005A4ED6">
      <w:pPr>
        <w:pBdr>
          <w:top w:val="nil"/>
          <w:left w:val="nil"/>
          <w:bottom w:val="nil"/>
          <w:right w:val="nil"/>
          <w:between w:val="nil"/>
        </w:pBdr>
        <w:ind w:right="17"/>
        <w:jc w:val="center"/>
        <w:rPr>
          <w:rFonts w:ascii="Arial" w:eastAsia="Arial" w:hAnsi="Arial" w:cs="Arial"/>
          <w:i/>
          <w:color w:val="000000"/>
        </w:rPr>
      </w:pPr>
      <w:r w:rsidRPr="005A4ED6">
        <w:rPr>
          <w:rFonts w:ascii="Arial" w:eastAsia="Arial" w:hAnsi="Arial" w:cs="Arial"/>
          <w:i/>
          <w:color w:val="000000"/>
          <w:vertAlign w:val="superscript"/>
        </w:rPr>
        <w:t>3</w:t>
      </w:r>
      <w:r w:rsidRPr="005A4ED6">
        <w:rPr>
          <w:rFonts w:ascii="Arial" w:eastAsia="Arial" w:hAnsi="Arial" w:cs="Arial"/>
          <w:i/>
          <w:color w:val="000000"/>
        </w:rPr>
        <w:t xml:space="preserve"> </w:t>
      </w:r>
      <w:r>
        <w:rPr>
          <w:rFonts w:ascii="Arial" w:eastAsia="Arial" w:hAnsi="Arial" w:cs="Arial"/>
          <w:i/>
          <w:color w:val="000000"/>
        </w:rPr>
        <w:t>Fondazione</w:t>
      </w:r>
      <w:r w:rsidRPr="005A4ED6">
        <w:rPr>
          <w:rFonts w:ascii="Arial" w:eastAsia="Arial" w:hAnsi="Arial" w:cs="Arial"/>
          <w:i/>
          <w:color w:val="000000"/>
        </w:rPr>
        <w:t xml:space="preserve"> IRCCS Istituto Centro San Giovanni di Dio Fatebenefratelli, 25125 Brescia, Italy.</w:t>
      </w:r>
    </w:p>
    <w:p w14:paraId="62FCB5F9" w14:textId="4497B213" w:rsidR="005A4ED6" w:rsidRPr="005A4ED6" w:rsidRDefault="005A4ED6" w:rsidP="005A4ED6">
      <w:pPr>
        <w:pBdr>
          <w:top w:val="nil"/>
          <w:left w:val="nil"/>
          <w:bottom w:val="nil"/>
          <w:right w:val="nil"/>
          <w:between w:val="nil"/>
        </w:pBdr>
        <w:ind w:right="17"/>
        <w:jc w:val="center"/>
        <w:rPr>
          <w:rFonts w:ascii="Arial" w:eastAsia="Arial" w:hAnsi="Arial" w:cs="Arial"/>
          <w:i/>
          <w:color w:val="000000"/>
        </w:rPr>
      </w:pPr>
      <w:r w:rsidRPr="005A4ED6">
        <w:rPr>
          <w:rFonts w:ascii="Arial" w:eastAsia="Arial" w:hAnsi="Arial" w:cs="Arial"/>
          <w:i/>
          <w:color w:val="000000"/>
          <w:vertAlign w:val="superscript"/>
        </w:rPr>
        <w:t>4</w:t>
      </w:r>
      <w:r w:rsidRPr="005A4ED6">
        <w:rPr>
          <w:rFonts w:ascii="Arial" w:eastAsia="Arial" w:hAnsi="Arial" w:cs="Arial"/>
          <w:i/>
          <w:color w:val="000000"/>
        </w:rPr>
        <w:t xml:space="preserve"> Department of Health Sciences, Otolaryngology Unit, ASST Santi Paolo e Carlo Hospital, Università degli Studi di Milano, Milan, Italy</w:t>
      </w:r>
    </w:p>
    <w:p w14:paraId="00000003" w14:textId="42D1FBD0" w:rsidR="00747607" w:rsidRPr="005A4ED6" w:rsidRDefault="005A4ED6" w:rsidP="005A4ED6">
      <w:pPr>
        <w:pBdr>
          <w:top w:val="nil"/>
          <w:left w:val="nil"/>
          <w:bottom w:val="nil"/>
          <w:right w:val="nil"/>
          <w:between w:val="nil"/>
        </w:pBdr>
        <w:ind w:right="17"/>
        <w:jc w:val="center"/>
        <w:rPr>
          <w:rFonts w:ascii="Arial" w:eastAsia="Arial" w:hAnsi="Arial" w:cs="Arial"/>
          <w:i/>
          <w:color w:val="000000"/>
        </w:rPr>
      </w:pPr>
      <w:r w:rsidRPr="005A4ED6">
        <w:rPr>
          <w:rFonts w:ascii="Arial" w:eastAsia="Arial" w:hAnsi="Arial" w:cs="Arial"/>
          <w:i/>
          <w:color w:val="000000"/>
          <w:vertAlign w:val="superscript"/>
        </w:rPr>
        <w:t>5</w:t>
      </w:r>
      <w:r w:rsidRPr="005A4ED6">
        <w:rPr>
          <w:rFonts w:ascii="Arial" w:eastAsia="Arial" w:hAnsi="Arial" w:cs="Arial"/>
          <w:i/>
          <w:color w:val="000000"/>
        </w:rPr>
        <w:t xml:space="preserve"> Department of Medical Biotechnology and Translational Medicine, University of Milan, Milan, Italy</w:t>
      </w:r>
    </w:p>
    <w:p w14:paraId="00000007" w14:textId="77777777" w:rsidR="00747607" w:rsidRDefault="00747607">
      <w:pPr>
        <w:rPr>
          <w:rFonts w:ascii="Arial" w:eastAsia="Arial" w:hAnsi="Arial" w:cs="Arial"/>
        </w:rPr>
      </w:pPr>
    </w:p>
    <w:p w14:paraId="00000008" w14:textId="08FF05D3" w:rsidR="00747607" w:rsidRDefault="00000000">
      <w:pPr>
        <w:pBdr>
          <w:top w:val="nil"/>
          <w:left w:val="nil"/>
          <w:bottom w:val="nil"/>
          <w:right w:val="nil"/>
          <w:between w:val="nil"/>
        </w:pBdr>
        <w:ind w:right="17"/>
        <w:jc w:val="center"/>
        <w:rPr>
          <w:rFonts w:ascii="Arial" w:eastAsia="Arial" w:hAnsi="Arial" w:cs="Arial"/>
          <w:color w:val="000000"/>
        </w:rPr>
      </w:pPr>
      <w:r>
        <w:rPr>
          <w:rFonts w:ascii="Arial" w:eastAsia="Arial" w:hAnsi="Arial" w:cs="Arial"/>
          <w:b/>
          <w:color w:val="000000"/>
          <w:vertAlign w:val="superscript"/>
        </w:rPr>
        <w:t>*</w:t>
      </w:r>
      <w:r>
        <w:rPr>
          <w:rFonts w:ascii="Arial" w:eastAsia="Arial" w:hAnsi="Arial" w:cs="Arial"/>
          <w:b/>
          <w:color w:val="000000"/>
        </w:rPr>
        <w:t xml:space="preserve">Presenting author: </w:t>
      </w:r>
      <w:r w:rsidR="006155C0">
        <w:rPr>
          <w:rFonts w:ascii="Arial" w:eastAsia="Arial" w:hAnsi="Arial" w:cs="Arial"/>
          <w:b/>
          <w:color w:val="000000"/>
        </w:rPr>
        <w:t>linda.cerofolini@unifi.it</w:t>
      </w:r>
    </w:p>
    <w:p w14:paraId="0000000A" w14:textId="77777777" w:rsidR="00747607" w:rsidRDefault="00000000">
      <w:pPr>
        <w:pBdr>
          <w:top w:val="nil"/>
          <w:left w:val="nil"/>
          <w:bottom w:val="nil"/>
          <w:right w:val="nil"/>
          <w:between w:val="nil"/>
        </w:pBdr>
        <w:spacing w:before="360" w:after="280"/>
        <w:ind w:right="15"/>
        <w:jc w:val="both"/>
        <w:rPr>
          <w:rFonts w:ascii="Arial" w:eastAsia="Arial" w:hAnsi="Arial" w:cs="Arial"/>
          <w:b/>
          <w:color w:val="000000"/>
          <w:sz w:val="28"/>
          <w:szCs w:val="28"/>
        </w:rPr>
      </w:pPr>
      <w:r>
        <w:rPr>
          <w:rFonts w:ascii="Arial" w:eastAsia="Arial" w:hAnsi="Arial" w:cs="Arial"/>
          <w:b/>
          <w:color w:val="000000"/>
          <w:sz w:val="28"/>
          <w:szCs w:val="28"/>
        </w:rPr>
        <w:t xml:space="preserve">Abstract </w:t>
      </w:r>
    </w:p>
    <w:p w14:paraId="6AE51774" w14:textId="2DCFE5A6" w:rsidR="008624E0" w:rsidRDefault="006155C0">
      <w:pPr>
        <w:jc w:val="both"/>
        <w:rPr>
          <w:rFonts w:ascii="Arial" w:eastAsia="Arial" w:hAnsi="Arial" w:cs="Arial"/>
          <w:sz w:val="22"/>
          <w:szCs w:val="22"/>
        </w:rPr>
      </w:pPr>
      <w:r w:rsidRPr="006155C0">
        <w:rPr>
          <w:rFonts w:ascii="Arial" w:eastAsia="Arial" w:hAnsi="Arial" w:cs="Arial"/>
          <w:sz w:val="22"/>
          <w:szCs w:val="22"/>
        </w:rPr>
        <w:t xml:space="preserve">Clinical diagnosis of </w:t>
      </w:r>
      <w:r w:rsidR="00376944">
        <w:rPr>
          <w:rFonts w:ascii="Arial" w:eastAsia="Arial" w:hAnsi="Arial" w:cs="Arial"/>
          <w:sz w:val="22"/>
          <w:szCs w:val="22"/>
        </w:rPr>
        <w:t xml:space="preserve">alpha-synucleinopathies, such as </w:t>
      </w:r>
      <w:r w:rsidRPr="006155C0">
        <w:rPr>
          <w:rFonts w:ascii="Arial" w:eastAsia="Arial" w:hAnsi="Arial" w:cs="Arial"/>
          <w:sz w:val="22"/>
          <w:szCs w:val="22"/>
        </w:rPr>
        <w:t>Parkinson's disease (PD), multiple system atrophy (MSA) and dementia with Lewy bodies (DLB)</w:t>
      </w:r>
      <w:r w:rsidR="00376944">
        <w:rPr>
          <w:rFonts w:ascii="Arial" w:eastAsia="Arial" w:hAnsi="Arial" w:cs="Arial"/>
          <w:sz w:val="22"/>
          <w:szCs w:val="22"/>
        </w:rPr>
        <w:t>,</w:t>
      </w:r>
      <w:r w:rsidRPr="006155C0">
        <w:rPr>
          <w:rFonts w:ascii="Arial" w:eastAsia="Arial" w:hAnsi="Arial" w:cs="Arial"/>
          <w:sz w:val="22"/>
          <w:szCs w:val="22"/>
        </w:rPr>
        <w:t xml:space="preserve"> is challenging, especially in the early stages. However, each disease is associated with distinct conformers of misfolded alpha-synuclein</w:t>
      </w:r>
      <w:r w:rsidR="00065385">
        <w:rPr>
          <w:rFonts w:ascii="Arial" w:eastAsia="Arial" w:hAnsi="Arial" w:cs="Arial"/>
          <w:sz w:val="22"/>
          <w:szCs w:val="22"/>
        </w:rPr>
        <w:t>,</w:t>
      </w:r>
      <w:r w:rsidRPr="006155C0">
        <w:rPr>
          <w:rFonts w:ascii="Arial" w:eastAsia="Arial" w:hAnsi="Arial" w:cs="Arial"/>
          <w:sz w:val="22"/>
          <w:szCs w:val="22"/>
        </w:rPr>
        <w:t xml:space="preserve"> which form typical protein aggregates in the brain and represent key disease biomarkers. This project aims to create disease fingerprints for patient stratification and monitoring of disease progression, to improve diagnosis and treatment. </w:t>
      </w:r>
      <w:r w:rsidR="007A5D5B" w:rsidRPr="007A5D5B">
        <w:rPr>
          <w:rFonts w:ascii="Arial" w:eastAsia="Arial" w:hAnsi="Arial" w:cs="Arial"/>
          <w:sz w:val="22"/>
          <w:szCs w:val="22"/>
        </w:rPr>
        <w:t>The seed amplification assay (SAA) has been widely used to amplify aggregates present in biological fluids of patients through a cyclical process.</w:t>
      </w:r>
      <w:r w:rsidR="00376944">
        <w:rPr>
          <w:rFonts w:ascii="Arial" w:eastAsia="Arial" w:hAnsi="Arial" w:cs="Arial"/>
          <w:sz w:val="22"/>
          <w:szCs w:val="22"/>
        </w:rPr>
        <w:fldChar w:fldCharType="begin"/>
      </w:r>
      <w:r w:rsidR="00376944">
        <w:rPr>
          <w:rFonts w:ascii="Arial" w:eastAsia="Arial" w:hAnsi="Arial" w:cs="Arial"/>
          <w:sz w:val="22"/>
          <w:szCs w:val="22"/>
        </w:rPr>
        <w:instrText xml:space="preserve"> ADDIN ZOTERO_ITEM CSL_CITATION {"citationID":"k5KLOFgg","properties":{"formattedCitation":"\\super [1,2]\\nosupersub{}","plainCitation":"[1,2]","noteIndex":0},"citationItems":[{"id":9008,"uris":["http://zotero.org/users/300477/items/8UYKCLGQ"],"itemData":{"id":9008,"type":"article-journal","abstract":"Parkinson’s disease (PD) is a neurodegenerative disorder whose diagnosis is often challenging because symptoms may overlap with neurodegenerative parkinsonisms. PD is characterized by intraneuronal accumulation of abnormal α-synuclein in brainstem while neurodegenerative parkinsonisms might be associated with accumulation of either α-synuclein, as in the case of Multiple System Atrophy (MSA) or tau, as in the case of Corticobasal Degeneration (CBD) and Progressive Supranuclear Palsy (PSP), in other disease-specific brain regions. Definite diagnosis of all these diseases can be formulated only neuropathologically by detection and localization of α-synuclein or tau aggregates in the brain. Compelling evidence suggests that trace-amount of these proteins can appear in peripheral tissues, including receptor neurons of the olfactory mucosa (OM).","container-title":"Translational Neurodegeneration","DOI":"10.1186/s40035-019-0164-x","ISSN":"2047-9158","issue":"1","journalAbbreviation":"Translational Neurodegeneration","page":"24","source":"BioMed Central","title":"Efficient RT-QuIC seeding activity for α-synuclein in olfactory mucosa samples of patients with Parkinson’s disease and multiple system atrophy","volume":"8","author":[{"family":"De Luca","given":"Chiara Maria Giulia"},{"family":"Elia","given":"Antonio Emanuele"},{"family":"Portaleone","given":"Sara Maria"},{"family":"Cazzaniga","given":"Federico Angelo"},{"family":"Rossi","given":"Martina"},{"family":"Bistaffa","given":"Edoardo"},{"family":"De Cecco","given":"Elena"},{"family":"Narkiewicz","given":"Joanna"},{"family":"Salzano","given":"Giulia"},{"family":"Carletta","given":"Olga"},{"family":"Romito","given":"Luigi"},{"family":"Devigili","given":"Grazia"},{"family":"Soliveri","given":"Paola"},{"family":"Tiraboschi","given":"Pietro"},{"family":"Legname","given":"Giuseppe"},{"family":"Tagliavini","given":"Fabrizio"},{"family":"Eleopra","given":"Roberto"},{"family":"Giaccone","given":"Giorgio"},{"family":"Moda","given":"Fabio"}],"issued":{"date-parts":[["2019",8,8]]}}},{"id":9009,"uris":["http://zotero.org/users/300477/items/CXGF5VDR"],"itemData":{"id":9009,"type":"article-journal","abstract":"Detection of the pathological and disease-associated alpha-synuclein (αSynD) in the brain is required to formulate the definitive diagnosis of multiple system atrophy (MSA) and Parkinson’s disease (PD). We recently showed that αSynD can be detected in the olfactory mucosa (OM) of MSA and PD patients. For this reason, we have performed the first interlaboratory study based on α-synuclein Real-Time Quaking-Induced Conversion (αSyn_RT-QuIC) analysis of OM samples collected from PD and MSA patients with the parkinsonian (MSA-P) and cerebellar (MSA-C) phenotypes.","container-title":"Molecular Neurodegeneration","DOI":"10.1186/s13024-021-00491-y","ISSN":"1750-1326","issue":"1","journalAbbreviation":"Molecular Neurodegeneration","page":"82","source":"BioMed Central","title":"Discrimination of MSA-P and MSA-C by RT-QuIC analysis of olfactory mucosa: the first assessment of assay reproducibility between two specialized laboratories","title-short":"Discrimination of MSA-P and MSA-C by RT-QuIC analysis of olfactory mucosa","volume":"16","author":[{"family":"Bargar","given":"Connor"},{"family":"De Luca","given":"Chiara Maria Giulia"},{"family":"Devigili","given":"Grazia"},{"family":"Elia","given":"Antonio Emanuele"},{"family":"Cilia","given":"Roberto"},{"family":"Portaleone","given":"Sara Maria"},{"family":"Wang","given":"Wen"},{"family":"Tramacere","given":"Irene"},{"family":"Bistaffa","given":"Edoardo"},{"family":"Cazzaniga","given":"Federico Angelo"},{"family":"Felisati","given":"Giovanni"},{"family":"Legname","given":"Giuseppe"},{"family":"Di Fonzo","given":"Alessio"},{"family":"Xu","given":"Rong"},{"family":"Gunzler","given":"Steven Alexander"},{"family":"Giaccone","given":"Giorgio"},{"family":"Eleopra","given":"Roberto"},{"family":"Chen","given":"Shu Guang"},{"family":"Moda","given":"Fabio"}],"issued":{"date-parts":[["2021",12,11]]}}}],"schema":"https://github.com/citation-style-language/schema/raw/master/csl-citation.json"} </w:instrText>
      </w:r>
      <w:r w:rsidR="00376944">
        <w:rPr>
          <w:rFonts w:ascii="Arial" w:eastAsia="Arial" w:hAnsi="Arial" w:cs="Arial"/>
          <w:sz w:val="22"/>
          <w:szCs w:val="22"/>
        </w:rPr>
        <w:fldChar w:fldCharType="separate"/>
      </w:r>
      <w:r w:rsidR="00376944" w:rsidRPr="00376944">
        <w:rPr>
          <w:rFonts w:ascii="Arial" w:hAnsi="Arial" w:cs="Arial"/>
          <w:sz w:val="22"/>
          <w:vertAlign w:val="superscript"/>
        </w:rPr>
        <w:t>[1,2]</w:t>
      </w:r>
      <w:r w:rsidR="00376944">
        <w:rPr>
          <w:rFonts w:ascii="Arial" w:eastAsia="Arial" w:hAnsi="Arial" w:cs="Arial"/>
          <w:sz w:val="22"/>
          <w:szCs w:val="22"/>
        </w:rPr>
        <w:fldChar w:fldCharType="end"/>
      </w:r>
      <w:r w:rsidR="007A5D5B" w:rsidRPr="007A5D5B">
        <w:rPr>
          <w:rFonts w:ascii="Arial" w:eastAsia="Arial" w:hAnsi="Arial" w:cs="Arial"/>
          <w:sz w:val="22"/>
          <w:szCs w:val="22"/>
        </w:rPr>
        <w:t xml:space="preserve"> SAA will be used to detect </w:t>
      </w:r>
      <w:r w:rsidR="00E4240F">
        <w:rPr>
          <w:rFonts w:ascii="Arial" w:eastAsia="Arial" w:hAnsi="Arial" w:cs="Arial"/>
          <w:sz w:val="22"/>
          <w:szCs w:val="22"/>
        </w:rPr>
        <w:t xml:space="preserve">and amplify </w:t>
      </w:r>
      <w:r w:rsidR="007A5D5B" w:rsidRPr="007A5D5B">
        <w:rPr>
          <w:rFonts w:ascii="Arial" w:eastAsia="Arial" w:hAnsi="Arial" w:cs="Arial"/>
          <w:sz w:val="22"/>
          <w:szCs w:val="22"/>
        </w:rPr>
        <w:t xml:space="preserve">pathological </w:t>
      </w:r>
      <w:r w:rsidR="007A5D5B">
        <w:rPr>
          <w:rFonts w:ascii="Arial" w:eastAsia="Arial" w:hAnsi="Arial" w:cs="Arial"/>
          <w:sz w:val="22"/>
          <w:szCs w:val="22"/>
        </w:rPr>
        <w:t>alpha-synuclein</w:t>
      </w:r>
      <w:r w:rsidR="007A5D5B" w:rsidRPr="007A5D5B">
        <w:rPr>
          <w:rFonts w:ascii="Arial" w:eastAsia="Arial" w:hAnsi="Arial" w:cs="Arial"/>
          <w:sz w:val="22"/>
          <w:szCs w:val="22"/>
        </w:rPr>
        <w:t xml:space="preserve"> in olfactory mucosa (OM)</w:t>
      </w:r>
      <w:r w:rsidR="007A5D5B">
        <w:rPr>
          <w:rFonts w:ascii="Arial" w:eastAsia="Arial" w:hAnsi="Arial" w:cs="Arial"/>
          <w:sz w:val="22"/>
          <w:szCs w:val="22"/>
        </w:rPr>
        <w:t xml:space="preserve">, and other biological fluids, of patients </w:t>
      </w:r>
      <w:r w:rsidR="007A5D5B" w:rsidRPr="006155C0">
        <w:rPr>
          <w:rFonts w:ascii="Arial" w:eastAsia="Arial" w:hAnsi="Arial" w:cs="Arial"/>
          <w:sz w:val="22"/>
          <w:szCs w:val="22"/>
        </w:rPr>
        <w:t>affected by PD, MSA, and DLB</w:t>
      </w:r>
      <w:r w:rsidR="007A5D5B" w:rsidRPr="007A5D5B">
        <w:rPr>
          <w:rFonts w:ascii="Arial" w:eastAsia="Arial" w:hAnsi="Arial" w:cs="Arial"/>
          <w:sz w:val="22"/>
          <w:szCs w:val="22"/>
        </w:rPr>
        <w:t>. The structure of the seeded aggregates will be characterized by high resolution solution and solid-state Nuclear Magnetic Resonance (NMR) to create disease fingerprints useful for an early-stage diagnosis</w:t>
      </w:r>
      <w:r w:rsidR="00B52DBE">
        <w:rPr>
          <w:rFonts w:ascii="Arial" w:eastAsia="Arial" w:hAnsi="Arial" w:cs="Arial"/>
          <w:sz w:val="22"/>
          <w:szCs w:val="22"/>
        </w:rPr>
        <w:t xml:space="preserve">, </w:t>
      </w:r>
      <w:r w:rsidR="007A5D5B" w:rsidRPr="007A5D5B">
        <w:rPr>
          <w:rFonts w:ascii="Arial" w:eastAsia="Arial" w:hAnsi="Arial" w:cs="Arial"/>
          <w:sz w:val="22"/>
          <w:szCs w:val="22"/>
        </w:rPr>
        <w:t xml:space="preserve">addressing the limitations of clinical interpretation. </w:t>
      </w:r>
    </w:p>
    <w:p w14:paraId="0000000B" w14:textId="7CF717C4" w:rsidR="00747607" w:rsidRDefault="007A5D5B">
      <w:pPr>
        <w:jc w:val="both"/>
        <w:rPr>
          <w:rFonts w:ascii="Arial" w:eastAsia="Arial" w:hAnsi="Arial" w:cs="Arial"/>
          <w:sz w:val="22"/>
          <w:szCs w:val="22"/>
        </w:rPr>
      </w:pPr>
      <w:r>
        <w:rPr>
          <w:rFonts w:ascii="Arial" w:eastAsia="Arial" w:hAnsi="Arial" w:cs="Arial"/>
          <w:sz w:val="22"/>
          <w:szCs w:val="22"/>
        </w:rPr>
        <w:t xml:space="preserve">NMR data on a sample model </w:t>
      </w:r>
      <w:r w:rsidR="00E4240F">
        <w:rPr>
          <w:rFonts w:ascii="Arial" w:eastAsia="Arial" w:hAnsi="Arial" w:cs="Arial"/>
          <w:sz w:val="22"/>
          <w:szCs w:val="22"/>
        </w:rPr>
        <w:t xml:space="preserve">of alpha-synuclein aggregates </w:t>
      </w:r>
      <w:r>
        <w:rPr>
          <w:rFonts w:ascii="Arial" w:eastAsia="Arial" w:hAnsi="Arial" w:cs="Arial"/>
          <w:sz w:val="22"/>
          <w:szCs w:val="22"/>
        </w:rPr>
        <w:t xml:space="preserve">have been </w:t>
      </w:r>
      <w:r w:rsidR="00376944">
        <w:rPr>
          <w:rFonts w:ascii="Arial" w:eastAsia="Arial" w:hAnsi="Arial" w:cs="Arial"/>
          <w:sz w:val="22"/>
          <w:szCs w:val="22"/>
        </w:rPr>
        <w:t xml:space="preserve">here </w:t>
      </w:r>
      <w:r>
        <w:rPr>
          <w:rFonts w:ascii="Arial" w:eastAsia="Arial" w:hAnsi="Arial" w:cs="Arial"/>
          <w:sz w:val="22"/>
          <w:szCs w:val="22"/>
        </w:rPr>
        <w:t>recorded to develop the methodology.</w:t>
      </w:r>
    </w:p>
    <w:p w14:paraId="0000000C" w14:textId="77777777" w:rsidR="00747607" w:rsidRDefault="00747607">
      <w:pPr>
        <w:jc w:val="both"/>
        <w:rPr>
          <w:rFonts w:ascii="Arial" w:eastAsia="Arial" w:hAnsi="Arial" w:cs="Arial"/>
        </w:rPr>
      </w:pPr>
    </w:p>
    <w:p w14:paraId="0000001A" w14:textId="7108740E" w:rsidR="00747607" w:rsidRDefault="007A5D5B">
      <w:pPr>
        <w:jc w:val="both"/>
        <w:rPr>
          <w:rFonts w:ascii="Arial" w:eastAsia="Arial" w:hAnsi="Arial" w:cs="Arial"/>
          <w:b/>
        </w:rPr>
      </w:pPr>
      <w:r>
        <w:rPr>
          <w:rFonts w:ascii="Arial" w:eastAsia="Arial" w:hAnsi="Arial" w:cs="Arial"/>
          <w:b/>
        </w:rPr>
        <w:t>References:</w:t>
      </w:r>
    </w:p>
    <w:p w14:paraId="7F9B188B" w14:textId="4F0B21AB" w:rsidR="00376944" w:rsidRPr="00376944" w:rsidRDefault="00376944" w:rsidP="00376944">
      <w:pPr>
        <w:pStyle w:val="Bibliography"/>
        <w:rPr>
          <w:rFonts w:ascii="Arial" w:hAnsi="Arial" w:cs="Arial"/>
          <w:sz w:val="22"/>
        </w:rPr>
      </w:pPr>
      <w:r w:rsidRPr="00376944">
        <w:rPr>
          <w:rFonts w:ascii="Arial" w:eastAsia="Arial" w:hAnsi="Arial" w:cs="Arial"/>
          <w:sz w:val="22"/>
          <w:szCs w:val="22"/>
        </w:rPr>
        <w:fldChar w:fldCharType="begin"/>
      </w:r>
      <w:r>
        <w:rPr>
          <w:rFonts w:ascii="Arial" w:eastAsia="Arial" w:hAnsi="Arial" w:cs="Arial"/>
          <w:sz w:val="22"/>
          <w:szCs w:val="22"/>
        </w:rPr>
        <w:instrText xml:space="preserve"> ADDIN ZOTERO_BIBL {"uncited":[],"omitted":[],"custom":[]} CSL_BIBLIOGRAPHY </w:instrText>
      </w:r>
      <w:r w:rsidRPr="00376944">
        <w:rPr>
          <w:rFonts w:ascii="Arial" w:eastAsia="Arial" w:hAnsi="Arial" w:cs="Arial"/>
          <w:sz w:val="22"/>
          <w:szCs w:val="22"/>
        </w:rPr>
        <w:fldChar w:fldCharType="separate"/>
      </w:r>
      <w:r w:rsidRPr="00376944">
        <w:rPr>
          <w:rFonts w:ascii="Arial" w:hAnsi="Arial" w:cs="Arial"/>
          <w:sz w:val="22"/>
        </w:rPr>
        <w:t>[1]</w:t>
      </w:r>
      <w:r w:rsidRPr="00376944">
        <w:rPr>
          <w:rFonts w:ascii="Arial" w:hAnsi="Arial" w:cs="Arial"/>
          <w:sz w:val="22"/>
        </w:rPr>
        <w:tab/>
        <w:t>C. M. G. De Luca, A. E. Elia, S. M. Portaleone,</w:t>
      </w:r>
      <w:r>
        <w:rPr>
          <w:rFonts w:ascii="Arial" w:hAnsi="Arial" w:cs="Arial"/>
          <w:sz w:val="22"/>
        </w:rPr>
        <w:t xml:space="preserve"> et al.</w:t>
      </w:r>
      <w:r w:rsidRPr="00376944">
        <w:rPr>
          <w:rFonts w:ascii="Arial" w:hAnsi="Arial" w:cs="Arial"/>
          <w:sz w:val="22"/>
        </w:rPr>
        <w:t xml:space="preserve"> </w:t>
      </w:r>
      <w:r w:rsidRPr="00376944">
        <w:rPr>
          <w:rFonts w:ascii="Arial" w:hAnsi="Arial" w:cs="Arial"/>
          <w:i/>
          <w:iCs/>
          <w:sz w:val="22"/>
        </w:rPr>
        <w:t>Translational Neurodegeneration</w:t>
      </w:r>
      <w:r w:rsidRPr="00376944">
        <w:rPr>
          <w:rFonts w:ascii="Arial" w:hAnsi="Arial" w:cs="Arial"/>
          <w:sz w:val="22"/>
        </w:rPr>
        <w:t xml:space="preserve"> </w:t>
      </w:r>
      <w:r w:rsidRPr="00376944">
        <w:rPr>
          <w:rFonts w:ascii="Arial" w:hAnsi="Arial" w:cs="Arial"/>
          <w:b/>
          <w:bCs/>
          <w:sz w:val="22"/>
        </w:rPr>
        <w:t>2019</w:t>
      </w:r>
      <w:r w:rsidRPr="00376944">
        <w:rPr>
          <w:rFonts w:ascii="Arial" w:hAnsi="Arial" w:cs="Arial"/>
          <w:sz w:val="22"/>
        </w:rPr>
        <w:t xml:space="preserve">, </w:t>
      </w:r>
      <w:r w:rsidRPr="00376944">
        <w:rPr>
          <w:rFonts w:ascii="Arial" w:hAnsi="Arial" w:cs="Arial"/>
          <w:i/>
          <w:iCs/>
          <w:sz w:val="22"/>
        </w:rPr>
        <w:t>8</w:t>
      </w:r>
      <w:r w:rsidRPr="00376944">
        <w:rPr>
          <w:rFonts w:ascii="Arial" w:hAnsi="Arial" w:cs="Arial"/>
          <w:sz w:val="22"/>
        </w:rPr>
        <w:t>, 24.</w:t>
      </w:r>
    </w:p>
    <w:p w14:paraId="00000020" w14:textId="7A11A45E" w:rsidR="00747607" w:rsidRDefault="00376944" w:rsidP="00376944">
      <w:pPr>
        <w:pStyle w:val="Bibliography"/>
        <w:rPr>
          <w:rFonts w:ascii="Arial" w:eastAsia="Arial" w:hAnsi="Arial" w:cs="Arial"/>
          <w:color w:val="000000"/>
          <w:sz w:val="32"/>
          <w:szCs w:val="32"/>
        </w:rPr>
      </w:pPr>
      <w:r w:rsidRPr="00376944">
        <w:rPr>
          <w:rFonts w:ascii="Arial" w:hAnsi="Arial" w:cs="Arial"/>
          <w:sz w:val="22"/>
        </w:rPr>
        <w:t>[2]</w:t>
      </w:r>
      <w:r w:rsidRPr="00376944">
        <w:rPr>
          <w:rFonts w:ascii="Arial" w:hAnsi="Arial" w:cs="Arial"/>
          <w:sz w:val="22"/>
        </w:rPr>
        <w:tab/>
        <w:t xml:space="preserve">C. Bargar, C. M. G. De Luca, G. Devigili, </w:t>
      </w:r>
      <w:r>
        <w:rPr>
          <w:rFonts w:ascii="Arial" w:hAnsi="Arial" w:cs="Arial"/>
          <w:sz w:val="22"/>
        </w:rPr>
        <w:t>et al.</w:t>
      </w:r>
      <w:r w:rsidRPr="00376944">
        <w:rPr>
          <w:rFonts w:ascii="Arial" w:hAnsi="Arial" w:cs="Arial"/>
          <w:sz w:val="22"/>
        </w:rPr>
        <w:t xml:space="preserve">, </w:t>
      </w:r>
      <w:r w:rsidRPr="00376944">
        <w:rPr>
          <w:rFonts w:ascii="Arial" w:hAnsi="Arial" w:cs="Arial"/>
          <w:i/>
          <w:iCs/>
          <w:sz w:val="22"/>
        </w:rPr>
        <w:t>Molecular Neurodegeneration</w:t>
      </w:r>
      <w:r w:rsidRPr="00376944">
        <w:rPr>
          <w:rFonts w:ascii="Arial" w:hAnsi="Arial" w:cs="Arial"/>
          <w:sz w:val="22"/>
        </w:rPr>
        <w:t xml:space="preserve"> </w:t>
      </w:r>
      <w:r w:rsidRPr="00376944">
        <w:rPr>
          <w:rFonts w:ascii="Arial" w:hAnsi="Arial" w:cs="Arial"/>
          <w:b/>
          <w:bCs/>
          <w:sz w:val="22"/>
        </w:rPr>
        <w:t>2021</w:t>
      </w:r>
      <w:r w:rsidRPr="00376944">
        <w:rPr>
          <w:rFonts w:ascii="Arial" w:hAnsi="Arial" w:cs="Arial"/>
          <w:sz w:val="22"/>
        </w:rPr>
        <w:t xml:space="preserve">, </w:t>
      </w:r>
      <w:r w:rsidRPr="00376944">
        <w:rPr>
          <w:rFonts w:ascii="Arial" w:hAnsi="Arial" w:cs="Arial"/>
          <w:i/>
          <w:iCs/>
          <w:sz w:val="22"/>
        </w:rPr>
        <w:t>16</w:t>
      </w:r>
      <w:r w:rsidRPr="00376944">
        <w:rPr>
          <w:rFonts w:ascii="Arial" w:hAnsi="Arial" w:cs="Arial"/>
          <w:sz w:val="22"/>
        </w:rPr>
        <w:t>, 82.</w:t>
      </w:r>
      <w:r w:rsidRPr="00376944">
        <w:rPr>
          <w:rFonts w:ascii="Arial" w:eastAsia="Arial" w:hAnsi="Arial" w:cs="Arial"/>
          <w:sz w:val="22"/>
          <w:szCs w:val="22"/>
        </w:rPr>
        <w:fldChar w:fldCharType="end"/>
      </w:r>
    </w:p>
    <w:sectPr w:rsidR="00747607">
      <w:footerReference w:type="even" r:id="rId7"/>
      <w:pgSz w:w="11900" w:h="16840"/>
      <w:pgMar w:top="1418" w:right="1418" w:bottom="1134" w:left="1701"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17EB6C8" w14:textId="77777777" w:rsidR="005E7D88" w:rsidRDefault="005E7D88">
      <w:r>
        <w:separator/>
      </w:r>
    </w:p>
  </w:endnote>
  <w:endnote w:type="continuationSeparator" w:id="0">
    <w:p w14:paraId="06A6D5F8" w14:textId="77777777" w:rsidR="005E7D88" w:rsidRDefault="005E7D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00"/>
    <w:family w:val="roman"/>
    <w:pitch w:val="variable"/>
    <w:sig w:usb0="E00006FF" w:usb1="420024FF" w:usb2="0200000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000021" w14:textId="77777777" w:rsidR="00747607" w:rsidRDefault="00000000">
    <w:pPr>
      <w:pBdr>
        <w:top w:val="nil"/>
        <w:left w:val="nil"/>
        <w:bottom w:val="nil"/>
        <w:right w:val="nil"/>
        <w:between w:val="nil"/>
      </w:pBdr>
      <w:tabs>
        <w:tab w:val="center" w:pos="4536"/>
        <w:tab w:val="right" w:pos="9072"/>
      </w:tabs>
      <w:jc w:val="center"/>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00000022" w14:textId="77777777" w:rsidR="00747607" w:rsidRDefault="00747607">
    <w:pPr>
      <w:pBdr>
        <w:top w:val="nil"/>
        <w:left w:val="nil"/>
        <w:bottom w:val="nil"/>
        <w:right w:val="nil"/>
        <w:between w:val="nil"/>
      </w:pBdr>
      <w:tabs>
        <w:tab w:val="center" w:pos="4536"/>
        <w:tab w:val="right" w:pos="9072"/>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F9A7F4" w14:textId="77777777" w:rsidR="005E7D88" w:rsidRDefault="005E7D88">
      <w:r>
        <w:separator/>
      </w:r>
    </w:p>
  </w:footnote>
  <w:footnote w:type="continuationSeparator" w:id="0">
    <w:p w14:paraId="1B5863D5" w14:textId="77777777" w:rsidR="005E7D88" w:rsidRDefault="005E7D8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47607"/>
    <w:rsid w:val="00065385"/>
    <w:rsid w:val="00376944"/>
    <w:rsid w:val="0038272A"/>
    <w:rsid w:val="00407C1B"/>
    <w:rsid w:val="00522F2F"/>
    <w:rsid w:val="005A4ED6"/>
    <w:rsid w:val="005E7D88"/>
    <w:rsid w:val="006155C0"/>
    <w:rsid w:val="00747607"/>
    <w:rsid w:val="007A5D5B"/>
    <w:rsid w:val="008624E0"/>
    <w:rsid w:val="00871A12"/>
    <w:rsid w:val="009C6618"/>
    <w:rsid w:val="00B52DBE"/>
    <w:rsid w:val="00CA41DA"/>
    <w:rsid w:val="00D61E38"/>
    <w:rsid w:val="00D93882"/>
    <w:rsid w:val="00E4240F"/>
    <w:rsid w:val="00FA660A"/>
    <w:rsid w:val="00FC6D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6F8FC"/>
  <w15:docId w15:val="{763D548D-4F8D-4AB9-B2D2-3C3723664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mbria" w:eastAsia="Cambria" w:hAnsi="Cambria" w:cs="Cambria"/>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65F06"/>
  </w:style>
  <w:style w:type="paragraph" w:styleId="Heading1">
    <w:name w:val="heading 1"/>
    <w:basedOn w:val="Normal"/>
    <w:next w:val="Normal"/>
    <w:link w:val="Heading1Char"/>
    <w:uiPriority w:val="9"/>
    <w:qFormat/>
    <w:rsid w:val="00F364DE"/>
    <w:pPr>
      <w:keepNext/>
      <w:outlineLvl w:val="0"/>
    </w:pPr>
    <w:rPr>
      <w:rFonts w:ascii="Times New Roman" w:eastAsia="Times New Roman" w:hAnsi="Times New Roman"/>
      <w:b/>
      <w:sz w:val="22"/>
      <w:szCs w:val="20"/>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customStyle="1" w:styleId="ColorfulList-Accent11">
    <w:name w:val="Colorful List - Accent 11"/>
    <w:basedOn w:val="Normal"/>
    <w:uiPriority w:val="34"/>
    <w:qFormat/>
    <w:rsid w:val="00F364DE"/>
    <w:pPr>
      <w:ind w:left="720"/>
      <w:contextualSpacing/>
    </w:pPr>
  </w:style>
  <w:style w:type="character" w:customStyle="1" w:styleId="Heading1Char">
    <w:name w:val="Heading 1 Char"/>
    <w:basedOn w:val="DefaultParagraphFont"/>
    <w:link w:val="Heading1"/>
    <w:rsid w:val="00F364DE"/>
    <w:rPr>
      <w:rFonts w:ascii="Times New Roman" w:eastAsia="Times New Roman" w:hAnsi="Times New Roman" w:cs="Times New Roman"/>
      <w:b/>
      <w:sz w:val="22"/>
      <w:szCs w:val="20"/>
      <w:lang w:val="en-US"/>
    </w:rPr>
  </w:style>
  <w:style w:type="paragraph" w:customStyle="1" w:styleId="PaperTitle">
    <w:name w:val="Paper Title"/>
    <w:basedOn w:val="Normal"/>
    <w:rsid w:val="00F364DE"/>
    <w:pPr>
      <w:spacing w:before="720"/>
      <w:jc w:val="center"/>
    </w:pPr>
    <w:rPr>
      <w:rFonts w:ascii="Times New Roman" w:eastAsia="Times New Roman" w:hAnsi="Times New Roman"/>
      <w:b/>
      <w:sz w:val="40"/>
      <w:szCs w:val="20"/>
    </w:rPr>
  </w:style>
  <w:style w:type="paragraph" w:customStyle="1" w:styleId="PaperAuthor">
    <w:name w:val="Paper Author"/>
    <w:basedOn w:val="Normal"/>
    <w:rsid w:val="00F364DE"/>
    <w:pPr>
      <w:spacing w:before="360" w:after="360"/>
      <w:jc w:val="center"/>
    </w:pPr>
    <w:rPr>
      <w:rFonts w:ascii="Times New Roman" w:eastAsia="Times New Roman" w:hAnsi="Times New Roman"/>
      <w:sz w:val="28"/>
      <w:szCs w:val="20"/>
    </w:rPr>
  </w:style>
  <w:style w:type="paragraph" w:customStyle="1" w:styleId="Abstract">
    <w:name w:val="Abstract"/>
    <w:basedOn w:val="Normal"/>
    <w:rsid w:val="00F364DE"/>
    <w:pPr>
      <w:spacing w:before="360"/>
      <w:ind w:left="288" w:right="288"/>
      <w:jc w:val="both"/>
    </w:pPr>
    <w:rPr>
      <w:rFonts w:ascii="Times New Roman" w:eastAsia="Times New Roman" w:hAnsi="Times New Roman"/>
      <w:sz w:val="20"/>
      <w:szCs w:val="20"/>
    </w:rPr>
  </w:style>
  <w:style w:type="paragraph" w:customStyle="1" w:styleId="Authorsafiiliation">
    <w:name w:val="Author's afiiliation"/>
    <w:basedOn w:val="Authors"/>
    <w:next w:val="Normal"/>
    <w:link w:val="AuthorsafiiliationChar"/>
    <w:rsid w:val="00F364DE"/>
    <w:rPr>
      <w:i/>
    </w:rPr>
  </w:style>
  <w:style w:type="paragraph" w:customStyle="1" w:styleId="Authors">
    <w:name w:val="Authors"/>
    <w:basedOn w:val="Normal"/>
    <w:next w:val="Normal"/>
    <w:link w:val="AuthorsChar"/>
    <w:rsid w:val="00F364DE"/>
    <w:pPr>
      <w:jc w:val="center"/>
    </w:pPr>
    <w:rPr>
      <w:rFonts w:ascii="Times New Roman" w:eastAsia="Times New Roman" w:hAnsi="Times New Roman"/>
      <w:lang w:val="hr-HR"/>
    </w:rPr>
  </w:style>
  <w:style w:type="character" w:customStyle="1" w:styleId="AuthorsChar">
    <w:name w:val="Authors Char"/>
    <w:basedOn w:val="DefaultParagraphFont"/>
    <w:link w:val="Authors"/>
    <w:rsid w:val="00F364DE"/>
    <w:rPr>
      <w:rFonts w:ascii="Times New Roman" w:eastAsia="Times New Roman" w:hAnsi="Times New Roman" w:cs="Times New Roman"/>
      <w:lang w:val="hr-HR"/>
    </w:rPr>
  </w:style>
  <w:style w:type="character" w:customStyle="1" w:styleId="AuthorsafiiliationChar">
    <w:name w:val="Author's afiiliation Char"/>
    <w:basedOn w:val="AuthorsChar"/>
    <w:link w:val="Authorsafiiliation"/>
    <w:rsid w:val="00F364DE"/>
    <w:rPr>
      <w:rFonts w:ascii="Times New Roman" w:eastAsia="Times New Roman" w:hAnsi="Times New Roman" w:cs="Times New Roman"/>
      <w:i/>
      <w:lang w:val="hr-HR"/>
    </w:rPr>
  </w:style>
  <w:style w:type="paragraph" w:styleId="Header">
    <w:name w:val="header"/>
    <w:basedOn w:val="Normal"/>
    <w:link w:val="HeaderChar"/>
    <w:uiPriority w:val="99"/>
    <w:unhideWhenUsed/>
    <w:rsid w:val="00F364DE"/>
    <w:pPr>
      <w:tabs>
        <w:tab w:val="center" w:pos="4680"/>
        <w:tab w:val="right" w:pos="9360"/>
      </w:tabs>
    </w:pPr>
    <w:rPr>
      <w:rFonts w:ascii="Arial" w:eastAsia="Calibri" w:hAnsi="Arial"/>
      <w:szCs w:val="22"/>
    </w:rPr>
  </w:style>
  <w:style w:type="character" w:customStyle="1" w:styleId="HeaderChar">
    <w:name w:val="Header Char"/>
    <w:basedOn w:val="DefaultParagraphFont"/>
    <w:link w:val="Header"/>
    <w:uiPriority w:val="99"/>
    <w:rsid w:val="00F364DE"/>
    <w:rPr>
      <w:rFonts w:ascii="Arial" w:eastAsia="Calibri" w:hAnsi="Arial" w:cs="Times New Roman"/>
      <w:szCs w:val="22"/>
      <w:lang w:val="en-US"/>
    </w:rPr>
  </w:style>
  <w:style w:type="paragraph" w:styleId="NormalWeb">
    <w:name w:val="Normal (Web)"/>
    <w:basedOn w:val="Normal"/>
    <w:uiPriority w:val="99"/>
    <w:unhideWhenUsed/>
    <w:rsid w:val="00F364DE"/>
    <w:pPr>
      <w:spacing w:before="100" w:beforeAutospacing="1" w:after="100" w:afterAutospacing="1"/>
    </w:pPr>
    <w:rPr>
      <w:rFonts w:ascii="Times New Roman" w:eastAsia="Times New Roman" w:hAnsi="Times New Roman"/>
    </w:rPr>
  </w:style>
  <w:style w:type="character" w:styleId="Hyperlink">
    <w:name w:val="Hyperlink"/>
    <w:basedOn w:val="DefaultParagraphFont"/>
    <w:rsid w:val="007B7201"/>
    <w:rPr>
      <w:color w:val="0000FF"/>
      <w:u w:val="single"/>
    </w:rPr>
  </w:style>
  <w:style w:type="paragraph" w:styleId="Footer">
    <w:name w:val="footer"/>
    <w:basedOn w:val="Normal"/>
    <w:link w:val="FooterChar"/>
    <w:rsid w:val="003212FE"/>
    <w:pPr>
      <w:tabs>
        <w:tab w:val="center" w:pos="4536"/>
        <w:tab w:val="right" w:pos="9072"/>
      </w:tabs>
    </w:pPr>
  </w:style>
  <w:style w:type="character" w:customStyle="1" w:styleId="FooterChar">
    <w:name w:val="Footer Char"/>
    <w:basedOn w:val="DefaultParagraphFont"/>
    <w:link w:val="Footer"/>
    <w:rsid w:val="003212FE"/>
    <w:rPr>
      <w:lang w:val="en-US"/>
    </w:rPr>
  </w:style>
  <w:style w:type="character" w:styleId="PageNumber">
    <w:name w:val="page number"/>
    <w:basedOn w:val="DefaultParagraphFont"/>
    <w:rsid w:val="003212FE"/>
  </w:style>
  <w:style w:type="paragraph" w:customStyle="1" w:styleId="Standard">
    <w:name w:val="Standard"/>
    <w:rsid w:val="00741F5F"/>
    <w:pPr>
      <w:widowControl w:val="0"/>
      <w:suppressAutoHyphens/>
      <w:autoSpaceDN w:val="0"/>
      <w:textAlignment w:val="baseline"/>
    </w:pPr>
    <w:rPr>
      <w:rFonts w:ascii="Times New Roman" w:eastAsia="SimSun" w:hAnsi="Times New Roman" w:cs="Arial"/>
      <w:kern w:val="3"/>
      <w:lang w:val="it-IT" w:eastAsia="zh-CN" w:bidi="hi-IN"/>
    </w:rPr>
  </w:style>
  <w:style w:type="paragraph" w:styleId="TOC6">
    <w:name w:val="toc 6"/>
    <w:basedOn w:val="Normal"/>
    <w:next w:val="Normal"/>
    <w:autoRedefine/>
    <w:uiPriority w:val="39"/>
    <w:unhideWhenUsed/>
    <w:rsid w:val="00741F5F"/>
    <w:pPr>
      <w:widowControl w:val="0"/>
      <w:suppressAutoHyphens/>
      <w:autoSpaceDN w:val="0"/>
      <w:ind w:left="1200"/>
      <w:textAlignment w:val="baseline"/>
    </w:pPr>
    <w:rPr>
      <w:rFonts w:asciiTheme="minorHAnsi" w:eastAsia="SimSun" w:hAnsiTheme="minorHAnsi" w:cstheme="minorHAnsi"/>
      <w:kern w:val="3"/>
      <w:sz w:val="18"/>
      <w:szCs w:val="18"/>
      <w:lang w:val="it-IT" w:eastAsia="zh-CN" w:bidi="hi-IN"/>
    </w:rPr>
  </w:style>
  <w:style w:type="character" w:styleId="UnresolvedMention">
    <w:name w:val="Unresolved Mention"/>
    <w:basedOn w:val="DefaultParagraphFont"/>
    <w:uiPriority w:val="99"/>
    <w:semiHidden/>
    <w:unhideWhenUsed/>
    <w:rsid w:val="0017137A"/>
    <w:rPr>
      <w:color w:val="605E5C"/>
      <w:shd w:val="clear" w:color="auto" w:fill="E1DFDD"/>
    </w:rPr>
  </w:style>
  <w:style w:type="character" w:styleId="Emphasis">
    <w:name w:val="Emphasis"/>
    <w:basedOn w:val="DefaultParagraphFont"/>
    <w:uiPriority w:val="20"/>
    <w:qFormat/>
    <w:rsid w:val="00BB4442"/>
    <w:rPr>
      <w:i/>
      <w:iCs/>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Bibliography">
    <w:name w:val="Bibliography"/>
    <w:basedOn w:val="Normal"/>
    <w:next w:val="Normal"/>
    <w:uiPriority w:val="37"/>
    <w:unhideWhenUsed/>
    <w:rsid w:val="00376944"/>
    <w:pPr>
      <w:tabs>
        <w:tab w:val="left" w:pos="384"/>
      </w:tabs>
      <w:ind w:left="384" w:hanging="38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8XW4OGDDOLOVcfdVGa3li4dAPTQ==">CgMxLjA4AHIhMWFxZmhqXy0tbHdvYngzVldKYXVBN21IZnZEcHBYTlNZ</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612</TotalTime>
  <Pages>1</Pages>
  <Words>1069</Words>
  <Characters>6098</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P208586</dc:creator>
  <cp:lastModifiedBy>Linda Cerofolini</cp:lastModifiedBy>
  <cp:revision>10</cp:revision>
  <dcterms:created xsi:type="dcterms:W3CDTF">2024-12-13T11:02:00Z</dcterms:created>
  <dcterms:modified xsi:type="dcterms:W3CDTF">2025-07-31T09:05:00Z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id="EUoC4v1e"/&gt;&lt;style id="http://www.zotero.org/styles/angewandte-chemie" hasBibliography="1" bibliographyStyleHasBeenSet="1"/&gt;&lt;prefs&gt;&lt;pref name="fieldType" value="Field"/&gt;&lt;/prefs&gt;&lt;/data&gt;</vt:lpwstr>
  </property>
</Properties>
</file>