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05362F" w:rsidRDefault="00B515AC">
      <w:pPr>
        <w:spacing w:before="240" w:after="240"/>
        <w:jc w:val="both"/>
        <w:rPr>
          <w:rFonts w:ascii="Times New Roman" w:eastAsia="Times New Roman" w:hAnsi="Times New Roman" w:cs="Times New Roman"/>
          <w:color w:val="000000"/>
        </w:rPr>
      </w:pPr>
      <w:bookmarkStart w:id="0" w:name="_heading=h.gjdgxs" w:colFirst="0" w:colLast="0"/>
      <w:bookmarkEnd w:id="0"/>
      <w:r>
        <w:rPr>
          <w:rFonts w:ascii="Times New Roman" w:eastAsia="Times New Roman" w:hAnsi="Times New Roman" w:cs="Times New Roman"/>
          <w:color w:val="000000"/>
        </w:rPr>
        <w:t>LE CASE E LE CITTÀ NELL</w:t>
      </w:r>
      <w:r>
        <w:rPr>
          <w:rFonts w:ascii="Times New Roman" w:eastAsia="Times New Roman" w:hAnsi="Times New Roman" w:cs="Times New Roman"/>
        </w:rPr>
        <w:t xml:space="preserve">’OCCIDENTE </w:t>
      </w:r>
      <w:r>
        <w:rPr>
          <w:rFonts w:ascii="Times New Roman" w:eastAsia="Times New Roman" w:hAnsi="Times New Roman" w:cs="Times New Roman"/>
          <w:color w:val="000000"/>
        </w:rPr>
        <w:t xml:space="preserve">MEDITERRANEO E ISLAMICO </w:t>
      </w:r>
      <w:r>
        <w:rPr>
          <w:rFonts w:ascii="Times New Roman" w:eastAsia="Times New Roman" w:hAnsi="Times New Roman" w:cs="Times New Roman"/>
        </w:rPr>
        <w:br/>
      </w:r>
      <w:r>
        <w:rPr>
          <w:rFonts w:ascii="Times New Roman" w:eastAsia="Times New Roman" w:hAnsi="Times New Roman" w:cs="Times New Roman"/>
          <w:color w:val="000000"/>
        </w:rPr>
        <w:t>(SECC. VIII-XIV).</w:t>
      </w:r>
    </w:p>
    <w:p w14:paraId="00000002" w14:textId="77777777" w:rsidR="0005362F" w:rsidRDefault="00B515AC">
      <w:pPr>
        <w:widowControl w:val="0"/>
        <w:jc w:val="both"/>
        <w:rPr>
          <w:rFonts w:ascii="Times New Roman" w:eastAsia="Times New Roman" w:hAnsi="Times New Roman" w:cs="Times New Roman"/>
        </w:rPr>
      </w:pPr>
      <w:bookmarkStart w:id="1" w:name="_heading=h.udanhtborvpt" w:colFirst="0" w:colLast="0"/>
      <w:bookmarkEnd w:id="1"/>
      <w:r>
        <w:rPr>
          <w:rFonts w:ascii="Times New Roman" w:eastAsia="Times New Roman" w:hAnsi="Times New Roman" w:cs="Times New Roman"/>
        </w:rPr>
        <w:t xml:space="preserve">Michele Nucciotti - Università di Firenze - </w:t>
      </w:r>
      <w:hyperlink r:id="rId6">
        <w:r>
          <w:rPr>
            <w:rFonts w:ascii="Times New Roman" w:eastAsia="Times New Roman" w:hAnsi="Times New Roman" w:cs="Times New Roman"/>
            <w:color w:val="1155CC"/>
            <w:u w:val="single"/>
          </w:rPr>
          <w:t>michele.nucciotti@unifi.it</w:t>
        </w:r>
      </w:hyperlink>
    </w:p>
    <w:p w14:paraId="00000003" w14:textId="77777777" w:rsidR="0005362F" w:rsidRDefault="00B515AC">
      <w:pPr>
        <w:widowControl w:val="0"/>
        <w:jc w:val="both"/>
        <w:rPr>
          <w:rFonts w:ascii="Times New Roman" w:eastAsia="Times New Roman" w:hAnsi="Times New Roman" w:cs="Times New Roman"/>
        </w:rPr>
      </w:pPr>
      <w:bookmarkStart w:id="2" w:name="_heading=h.gbcz9pzw9pm" w:colFirst="0" w:colLast="0"/>
      <w:bookmarkEnd w:id="2"/>
      <w:r>
        <w:rPr>
          <w:rFonts w:ascii="Times New Roman" w:eastAsia="Times New Roman" w:hAnsi="Times New Roman" w:cs="Times New Roman"/>
        </w:rPr>
        <w:t xml:space="preserve">Elisa Pruno - Università di Firenze - </w:t>
      </w:r>
      <w:hyperlink r:id="rId7">
        <w:r>
          <w:rPr>
            <w:rFonts w:ascii="Times New Roman" w:eastAsia="Times New Roman" w:hAnsi="Times New Roman" w:cs="Times New Roman"/>
            <w:color w:val="1155CC"/>
            <w:u w:val="single"/>
          </w:rPr>
          <w:t>elisa.pruno@unifi.it</w:t>
        </w:r>
      </w:hyperlink>
      <w:r>
        <w:rPr>
          <w:rFonts w:ascii="Times New Roman" w:eastAsia="Times New Roman" w:hAnsi="Times New Roman" w:cs="Times New Roman"/>
        </w:rPr>
        <w:t xml:space="preserve"> </w:t>
      </w:r>
    </w:p>
    <w:p w14:paraId="00000004" w14:textId="77777777" w:rsidR="0005362F" w:rsidRDefault="0005362F">
      <w:pPr>
        <w:spacing w:before="240" w:after="240"/>
        <w:jc w:val="both"/>
        <w:rPr>
          <w:rFonts w:ascii="Times New Roman" w:eastAsia="Times New Roman" w:hAnsi="Times New Roman" w:cs="Times New Roman"/>
        </w:rPr>
      </w:pPr>
    </w:p>
    <w:p w14:paraId="00000005" w14:textId="77777777" w:rsidR="0005362F" w:rsidRDefault="00B515AC">
      <w:pPr>
        <w:numPr>
          <w:ilvl w:val="0"/>
          <w:numId w:val="2"/>
        </w:numPr>
        <w:spacing w:before="240" w:after="240"/>
        <w:jc w:val="both"/>
        <w:rPr>
          <w:rFonts w:ascii="Times New Roman" w:eastAsia="Times New Roman" w:hAnsi="Times New Roman" w:cs="Times New Roman"/>
          <w:i/>
        </w:rPr>
      </w:pPr>
      <w:r>
        <w:rPr>
          <w:rFonts w:ascii="Times New Roman" w:eastAsia="Times New Roman" w:hAnsi="Times New Roman" w:cs="Times New Roman"/>
          <w:i/>
        </w:rPr>
        <w:t>La casa islamica come sintesi di complessità</w:t>
      </w:r>
    </w:p>
    <w:p w14:paraId="00000006" w14:textId="77777777" w:rsidR="0005362F" w:rsidRDefault="00B515AC">
      <w:pPr>
        <w:spacing w:before="240" w:after="240"/>
        <w:jc w:val="both"/>
        <w:rPr>
          <w:rFonts w:ascii="Times New Roman" w:eastAsia="Times New Roman" w:hAnsi="Times New Roman" w:cs="Times New Roman"/>
        </w:rPr>
      </w:pPr>
      <w:r>
        <w:rPr>
          <w:rFonts w:ascii="Times New Roman" w:eastAsia="Times New Roman" w:hAnsi="Times New Roman" w:cs="Times New Roman"/>
          <w:color w:val="000000"/>
        </w:rPr>
        <w:t>Descrivere la casa medievale nel Mediterraneo islamico, e particolarmente nelle aree del Levante e dell</w:t>
      </w:r>
      <w:r>
        <w:rPr>
          <w:rFonts w:ascii="Times New Roman" w:eastAsia="Times New Roman" w:hAnsi="Times New Roman" w:cs="Times New Roman"/>
          <w:color w:val="000000"/>
        </w:rPr>
        <w:t>’Egitto, pone una serie di questioni di carattere metodologico che vanno (almeno sinteticamente) esposte in premessa a questo contributo.</w:t>
      </w:r>
    </w:p>
    <w:p w14:paraId="00000007" w14:textId="77777777" w:rsidR="0005362F" w:rsidRDefault="00B515AC">
      <w:pPr>
        <w:spacing w:before="240" w:after="240"/>
        <w:jc w:val="both"/>
        <w:rPr>
          <w:rFonts w:ascii="Times New Roman" w:eastAsia="Times New Roman" w:hAnsi="Times New Roman" w:cs="Times New Roman"/>
        </w:rPr>
      </w:pPr>
      <w:r>
        <w:rPr>
          <w:rFonts w:ascii="Times New Roman" w:eastAsia="Times New Roman" w:hAnsi="Times New Roman" w:cs="Times New Roman"/>
          <w:color w:val="000000"/>
        </w:rPr>
        <w:t>Esse possono essere evidenziate utilizzando una serie di opposizioni, come ad esempio:</w:t>
      </w:r>
    </w:p>
    <w:p w14:paraId="00000008" w14:textId="77777777" w:rsidR="0005362F" w:rsidRDefault="00B515AC">
      <w:pPr>
        <w:numPr>
          <w:ilvl w:val="0"/>
          <w:numId w:val="1"/>
        </w:numPr>
        <w:spacing w:before="240"/>
        <w:ind w:left="36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Impero arabo </w:t>
      </w:r>
      <w:r>
        <w:rPr>
          <w:rFonts w:ascii="Times New Roman" w:eastAsia="Times New Roman" w:hAnsi="Times New Roman" w:cs="Times New Roman"/>
          <w:i/>
        </w:rPr>
        <w:t>contra</w:t>
      </w:r>
      <w:r>
        <w:rPr>
          <w:rFonts w:ascii="Times New Roman" w:eastAsia="Times New Roman" w:hAnsi="Times New Roman" w:cs="Times New Roman"/>
          <w:color w:val="000000"/>
        </w:rPr>
        <w:t xml:space="preserve"> Impero isla</w:t>
      </w:r>
      <w:r>
        <w:rPr>
          <w:rFonts w:ascii="Times New Roman" w:eastAsia="Times New Roman" w:hAnsi="Times New Roman" w:cs="Times New Roman"/>
          <w:color w:val="000000"/>
        </w:rPr>
        <w:t>mico</w:t>
      </w:r>
    </w:p>
    <w:p w14:paraId="00000009" w14:textId="77777777" w:rsidR="0005362F" w:rsidRDefault="00B515AC">
      <w:pPr>
        <w:numPr>
          <w:ilvl w:val="0"/>
          <w:numId w:val="1"/>
        </w:numPr>
        <w:spacing w:after="240"/>
        <w:ind w:left="36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Impero islamico </w:t>
      </w:r>
      <w:r>
        <w:rPr>
          <w:rFonts w:ascii="Times New Roman" w:eastAsia="Times New Roman" w:hAnsi="Times New Roman" w:cs="Times New Roman"/>
          <w:i/>
        </w:rPr>
        <w:t>contra</w:t>
      </w:r>
      <w:r>
        <w:rPr>
          <w:rFonts w:ascii="Times New Roman" w:eastAsia="Times New Roman" w:hAnsi="Times New Roman" w:cs="Times New Roman"/>
          <w:color w:val="000000"/>
        </w:rPr>
        <w:t xml:space="preserve"> </w:t>
      </w:r>
      <w:r>
        <w:rPr>
          <w:rFonts w:ascii="Times New Roman" w:eastAsia="Times New Roman" w:hAnsi="Times New Roman" w:cs="Times New Roman"/>
        </w:rPr>
        <w:t>comunità islamica</w:t>
      </w:r>
    </w:p>
    <w:p w14:paraId="0000000A" w14:textId="77777777" w:rsidR="0005362F" w:rsidRDefault="00B515AC">
      <w:pPr>
        <w:spacing w:before="240" w:after="240"/>
        <w:jc w:val="both"/>
        <w:rPr>
          <w:rFonts w:ascii="Times New Roman" w:eastAsia="Times New Roman" w:hAnsi="Times New Roman" w:cs="Times New Roman"/>
        </w:rPr>
      </w:pPr>
      <w:r>
        <w:rPr>
          <w:rFonts w:ascii="Times New Roman" w:eastAsia="Times New Roman" w:hAnsi="Times New Roman" w:cs="Times New Roman"/>
          <w:color w:val="000000"/>
        </w:rPr>
        <w:t xml:space="preserve">Prendendo in considerazione la prima opposizione (Impero arabo </w:t>
      </w:r>
      <w:r>
        <w:rPr>
          <w:rFonts w:ascii="Times New Roman" w:eastAsia="Times New Roman" w:hAnsi="Times New Roman" w:cs="Times New Roman"/>
          <w:i/>
        </w:rPr>
        <w:t xml:space="preserve">contra </w:t>
      </w:r>
      <w:r>
        <w:rPr>
          <w:rFonts w:ascii="Times New Roman" w:eastAsia="Times New Roman" w:hAnsi="Times New Roman" w:cs="Times New Roman"/>
          <w:color w:val="000000"/>
        </w:rPr>
        <w:t>Impero islamico), infatti, è necessario osservare come l’</w:t>
      </w:r>
      <w:r>
        <w:rPr>
          <w:rFonts w:ascii="Times New Roman" w:eastAsia="Times New Roman" w:hAnsi="Times New Roman" w:cs="Times New Roman"/>
          <w:i/>
          <w:color w:val="000000"/>
        </w:rPr>
        <w:t xml:space="preserve">elite </w:t>
      </w:r>
      <w:r>
        <w:rPr>
          <w:rFonts w:ascii="Times New Roman" w:eastAsia="Times New Roman" w:hAnsi="Times New Roman" w:cs="Times New Roman"/>
          <w:color w:val="000000"/>
        </w:rPr>
        <w:t>araba, fondatrice dell’impero islamico nel VII secolo, perda progressivamente</w:t>
      </w:r>
      <w:r>
        <w:rPr>
          <w:rFonts w:ascii="Times New Roman" w:eastAsia="Times New Roman" w:hAnsi="Times New Roman" w:cs="Times New Roman"/>
          <w:color w:val="000000"/>
        </w:rPr>
        <w:t xml:space="preserve"> di importanza nel quadro della società islamizzata a partire dal X secolo (specialmente nel Levante), quando il potere passa nelle mani dei Daylamiti Buidi; e definitivamente nel secolo XI, quando il sultanato turco Selgiuchide esautora completamente il c</w:t>
      </w:r>
      <w:r>
        <w:rPr>
          <w:rFonts w:ascii="Times New Roman" w:eastAsia="Times New Roman" w:hAnsi="Times New Roman" w:cs="Times New Roman"/>
          <w:color w:val="000000"/>
        </w:rPr>
        <w:t xml:space="preserve">aliffo abbaside di Baghdad. La situazione è solo apparentemente diversa in Nord Africa, laddove la presa di potere di un ramo della discendenza diretta del profeta Maometto nel 910, gli sciiti Fatimidi, arabi e membri dei Banu Quraysh, non poggia su forze </w:t>
      </w:r>
      <w:r>
        <w:rPr>
          <w:rFonts w:ascii="Times New Roman" w:eastAsia="Times New Roman" w:hAnsi="Times New Roman" w:cs="Times New Roman"/>
          <w:color w:val="000000"/>
        </w:rPr>
        <w:t>militari arabe, bensì su quelle di tribù berbere convertite alla causa sciita, in primo luogo i Kutama del nord dell’Algeria.</w:t>
      </w:r>
      <w:r>
        <w:rPr>
          <w:rFonts w:ascii="Times New Roman" w:eastAsia="Times New Roman" w:hAnsi="Times New Roman" w:cs="Times New Roman"/>
          <w:b/>
          <w:color w:val="000000"/>
        </w:rPr>
        <w:t xml:space="preserve"> </w:t>
      </w:r>
      <w:r>
        <w:rPr>
          <w:rFonts w:ascii="Times New Roman" w:eastAsia="Times New Roman" w:hAnsi="Times New Roman" w:cs="Times New Roman"/>
          <w:color w:val="000000"/>
        </w:rPr>
        <w:t xml:space="preserve">Dal X secolo in avanti, quindi, l’impero islamico non è più governato dalle </w:t>
      </w:r>
      <w:r>
        <w:rPr>
          <w:rFonts w:ascii="Times New Roman" w:eastAsia="Times New Roman" w:hAnsi="Times New Roman" w:cs="Times New Roman"/>
          <w:i/>
          <w:color w:val="000000"/>
        </w:rPr>
        <w:t xml:space="preserve">élites </w:t>
      </w:r>
      <w:r>
        <w:rPr>
          <w:rFonts w:ascii="Times New Roman" w:eastAsia="Times New Roman" w:hAnsi="Times New Roman" w:cs="Times New Roman"/>
          <w:color w:val="000000"/>
        </w:rPr>
        <w:t>militari arabe, e subisce culturalmente il cond</w:t>
      </w:r>
      <w:r>
        <w:rPr>
          <w:rFonts w:ascii="Times New Roman" w:eastAsia="Times New Roman" w:hAnsi="Times New Roman" w:cs="Times New Roman"/>
          <w:color w:val="000000"/>
        </w:rPr>
        <w:t>izionamento di turchi (su tutti, dai Tulunidi ai Selgiuchidi ai Mamelucchi e infine agli Ottomani), berberi, curdi (come nel caso di Saladino e della dinastia Ayyubide), armeni (in Egitto dalla seconda metà del secolo XI al 1171), mongoli e altri ancora.  </w:t>
      </w:r>
    </w:p>
    <w:p w14:paraId="0000000B" w14:textId="77777777" w:rsidR="0005362F" w:rsidRDefault="00B515AC">
      <w:pPr>
        <w:spacing w:before="240" w:after="240"/>
        <w:jc w:val="both"/>
        <w:rPr>
          <w:rFonts w:ascii="Times New Roman" w:eastAsia="Times New Roman" w:hAnsi="Times New Roman" w:cs="Times New Roman"/>
        </w:rPr>
      </w:pPr>
      <w:r>
        <w:rPr>
          <w:rFonts w:ascii="Times New Roman" w:eastAsia="Times New Roman" w:hAnsi="Times New Roman" w:cs="Times New Roman"/>
          <w:color w:val="000000"/>
        </w:rPr>
        <w:t xml:space="preserve">Per quanto riguarda la seconda opposizione, quella tra impero islamico e </w:t>
      </w:r>
      <w:r>
        <w:rPr>
          <w:rFonts w:ascii="Times New Roman" w:eastAsia="Times New Roman" w:hAnsi="Times New Roman" w:cs="Times New Roman"/>
        </w:rPr>
        <w:t>comunità</w:t>
      </w:r>
      <w:r>
        <w:rPr>
          <w:rFonts w:ascii="Times New Roman" w:eastAsia="Times New Roman" w:hAnsi="Times New Roman" w:cs="Times New Roman"/>
          <w:color w:val="000000"/>
        </w:rPr>
        <w:t xml:space="preserve"> </w:t>
      </w:r>
      <w:r>
        <w:rPr>
          <w:rFonts w:ascii="Times New Roman" w:eastAsia="Times New Roman" w:hAnsi="Times New Roman" w:cs="Times New Roman"/>
        </w:rPr>
        <w:t>islamica</w:t>
      </w:r>
      <w:r>
        <w:rPr>
          <w:rFonts w:ascii="Times New Roman" w:eastAsia="Times New Roman" w:hAnsi="Times New Roman" w:cs="Times New Roman"/>
          <w:color w:val="000000"/>
        </w:rPr>
        <w:t>, occorre considerare che il processo di conversione alla nuova fede delle popolazioni residenti entro i confini dell’impero della fine dell’VIII secolo (Fig. 1), esteso grossomodo dall’attuale Uzbekistan alla penisola iberica, è lungo, complesso e mai com</w:t>
      </w:r>
      <w:r>
        <w:rPr>
          <w:rFonts w:ascii="Times New Roman" w:eastAsia="Times New Roman" w:hAnsi="Times New Roman" w:cs="Times New Roman"/>
          <w:color w:val="000000"/>
        </w:rPr>
        <w:t>pleto, e che, ad esempio, ancora in quel periodo i non musulmani sudditi del califfo rappresentano la stragrande maggioranza (oltre il 90%) dei residenti del</w:t>
      </w:r>
      <w:r>
        <w:rPr>
          <w:rFonts w:ascii="Times New Roman" w:eastAsia="Times New Roman" w:hAnsi="Times New Roman" w:cs="Times New Roman"/>
        </w:rPr>
        <w:t xml:space="preserve"> califfato</w:t>
      </w:r>
      <w:r>
        <w:rPr>
          <w:rFonts w:ascii="Times New Roman" w:eastAsia="Times New Roman" w:hAnsi="Times New Roman" w:cs="Times New Roman"/>
          <w:color w:val="000000"/>
        </w:rPr>
        <w:t>. Chi sono tutti gli altri? Siriaci, Copti, Armeni, Persiani, Ebrei e Bizantini, per cita</w:t>
      </w:r>
      <w:r>
        <w:rPr>
          <w:rFonts w:ascii="Times New Roman" w:eastAsia="Times New Roman" w:hAnsi="Times New Roman" w:cs="Times New Roman"/>
          <w:color w:val="000000"/>
        </w:rPr>
        <w:t xml:space="preserve">rne alcuni, che formavano non solo il grosso della popolazione ma ne costituivano i ceti produttivi e intellettuali, oltre a fornire all’impero gran parte del personale amministrativo. Questi gruppi, inglobati come </w:t>
      </w:r>
      <w:r>
        <w:rPr>
          <w:rFonts w:ascii="Times New Roman" w:eastAsia="Times New Roman" w:hAnsi="Times New Roman" w:cs="Times New Roman"/>
          <w:i/>
          <w:color w:val="000000"/>
        </w:rPr>
        <w:t xml:space="preserve">dhimmi </w:t>
      </w:r>
      <w:r>
        <w:rPr>
          <w:rFonts w:ascii="Times New Roman" w:eastAsia="Times New Roman" w:hAnsi="Times New Roman" w:cs="Times New Roman"/>
          <w:color w:val="000000"/>
        </w:rPr>
        <w:t xml:space="preserve">nella </w:t>
      </w:r>
      <w:r>
        <w:rPr>
          <w:rFonts w:ascii="Times New Roman" w:eastAsia="Times New Roman" w:hAnsi="Times New Roman" w:cs="Times New Roman"/>
          <w:i/>
          <w:color w:val="000000"/>
        </w:rPr>
        <w:t>umma</w:t>
      </w:r>
      <w:r>
        <w:rPr>
          <w:rFonts w:ascii="Times New Roman" w:eastAsia="Times New Roman" w:hAnsi="Times New Roman" w:cs="Times New Roman"/>
          <w:color w:val="000000"/>
        </w:rPr>
        <w:t>, sulla base di un ‘patt</w:t>
      </w:r>
      <w:r>
        <w:rPr>
          <w:rFonts w:ascii="Times New Roman" w:eastAsia="Times New Roman" w:hAnsi="Times New Roman" w:cs="Times New Roman"/>
          <w:color w:val="000000"/>
        </w:rPr>
        <w:t>o di protezione’ (</w:t>
      </w:r>
      <w:r>
        <w:rPr>
          <w:rFonts w:ascii="Times New Roman" w:eastAsia="Times New Roman" w:hAnsi="Times New Roman" w:cs="Times New Roman"/>
          <w:i/>
          <w:color w:val="000000"/>
        </w:rPr>
        <w:t>dhimma</w:t>
      </w:r>
      <w:r>
        <w:rPr>
          <w:rFonts w:ascii="Times New Roman" w:eastAsia="Times New Roman" w:hAnsi="Times New Roman" w:cs="Times New Roman"/>
          <w:color w:val="000000"/>
        </w:rPr>
        <w:t xml:space="preserve">, appunto), erano da lungo tempo sedentarizzati e disarmati (laddove gli arabi erano, per contro, nomadi e guerrieri), oltre ad essere stati </w:t>
      </w:r>
      <w:r>
        <w:rPr>
          <w:rFonts w:ascii="Times New Roman" w:eastAsia="Times New Roman" w:hAnsi="Times New Roman" w:cs="Times New Roman"/>
        </w:rPr>
        <w:t xml:space="preserve">assoggettati </w:t>
      </w:r>
      <w:r>
        <w:rPr>
          <w:rFonts w:ascii="Times New Roman" w:eastAsia="Times New Roman" w:hAnsi="Times New Roman" w:cs="Times New Roman"/>
          <w:color w:val="000000"/>
        </w:rPr>
        <w:t>da secoli alla tassazione e all’amministrazione imperiali (</w:t>
      </w:r>
      <w:r>
        <w:rPr>
          <w:rFonts w:ascii="Times New Roman" w:eastAsia="Times New Roman" w:hAnsi="Times New Roman" w:cs="Times New Roman"/>
          <w:smallCaps/>
        </w:rPr>
        <w:t>Martinez Gros</w:t>
      </w:r>
      <w:r>
        <w:rPr>
          <w:rFonts w:ascii="Times New Roman" w:eastAsia="Times New Roman" w:hAnsi="Times New Roman" w:cs="Times New Roman"/>
          <w:color w:val="000000"/>
        </w:rPr>
        <w:t xml:space="preserve"> 2014)</w:t>
      </w:r>
      <w:r>
        <w:rPr>
          <w:rFonts w:ascii="Times New Roman" w:eastAsia="Times New Roman" w:hAnsi="Times New Roman" w:cs="Times New Roman"/>
          <w:color w:val="000000"/>
        </w:rPr>
        <w:t xml:space="preserve">; sono quindi essi, in primo luogo, i depositari delle tradizioni produttive e agricole che vengono messe a disposizione delle </w:t>
      </w:r>
      <w:r>
        <w:rPr>
          <w:rFonts w:ascii="Times New Roman" w:eastAsia="Times New Roman" w:hAnsi="Times New Roman" w:cs="Times New Roman"/>
          <w:i/>
          <w:color w:val="000000"/>
        </w:rPr>
        <w:t xml:space="preserve">élite </w:t>
      </w:r>
      <w:r>
        <w:rPr>
          <w:rFonts w:ascii="Times New Roman" w:eastAsia="Times New Roman" w:hAnsi="Times New Roman" w:cs="Times New Roman"/>
          <w:color w:val="000000"/>
        </w:rPr>
        <w:t>arabe impegnate, tra VII e VIII secolo, a gettare le basi materiali della cultura islamica; produzione edilizia inclusa. </w:t>
      </w:r>
    </w:p>
    <w:p w14:paraId="0000000C" w14:textId="77777777" w:rsidR="0005362F" w:rsidRDefault="00B515AC">
      <w:pPr>
        <w:spacing w:before="240" w:after="240"/>
        <w:jc w:val="both"/>
        <w:rPr>
          <w:rFonts w:ascii="Times New Roman" w:eastAsia="Times New Roman" w:hAnsi="Times New Roman" w:cs="Times New Roman"/>
        </w:rPr>
      </w:pPr>
      <w:r>
        <w:rPr>
          <w:rFonts w:ascii="Times New Roman" w:eastAsia="Times New Roman" w:hAnsi="Times New Roman" w:cs="Times New Roman"/>
          <w:color w:val="000000"/>
        </w:rPr>
        <w:t>L</w:t>
      </w:r>
      <w:r>
        <w:rPr>
          <w:rFonts w:ascii="Times New Roman" w:eastAsia="Times New Roman" w:hAnsi="Times New Roman" w:cs="Times New Roman"/>
          <w:color w:val="000000"/>
        </w:rPr>
        <w:t>e case e le città del Mediterraneo islamico di VIII-XIV secolo sono quindi il risultato di complessi processi culturali, mai unidirezionali e standardizzati, che affondano per un verso sia nella tradizione araba pre-islamica, sia in tradizioni culturali pr</w:t>
      </w:r>
      <w:r>
        <w:rPr>
          <w:rFonts w:ascii="Times New Roman" w:eastAsia="Times New Roman" w:hAnsi="Times New Roman" w:cs="Times New Roman"/>
          <w:color w:val="000000"/>
        </w:rPr>
        <w:t>ecedenti all’islam</w:t>
      </w:r>
      <w:r>
        <w:rPr>
          <w:rFonts w:ascii="Times New Roman" w:eastAsia="Times New Roman" w:hAnsi="Times New Roman" w:cs="Times New Roman"/>
        </w:rPr>
        <w:t xml:space="preserve">, </w:t>
      </w:r>
      <w:r>
        <w:rPr>
          <w:rFonts w:ascii="Times New Roman" w:eastAsia="Times New Roman" w:hAnsi="Times New Roman" w:cs="Times New Roman"/>
          <w:color w:val="000000"/>
        </w:rPr>
        <w:t xml:space="preserve">trasmesse nella </w:t>
      </w:r>
      <w:r>
        <w:rPr>
          <w:rFonts w:ascii="Times New Roman" w:eastAsia="Times New Roman" w:hAnsi="Times New Roman" w:cs="Times New Roman"/>
          <w:i/>
          <w:color w:val="000000"/>
        </w:rPr>
        <w:t xml:space="preserve">longue durée </w:t>
      </w:r>
      <w:r>
        <w:rPr>
          <w:rFonts w:ascii="Times New Roman" w:eastAsia="Times New Roman" w:hAnsi="Times New Roman" w:cs="Times New Roman"/>
          <w:color w:val="000000"/>
        </w:rPr>
        <w:t xml:space="preserve">dai </w:t>
      </w:r>
      <w:r>
        <w:rPr>
          <w:rFonts w:ascii="Times New Roman" w:eastAsia="Times New Roman" w:hAnsi="Times New Roman" w:cs="Times New Roman"/>
          <w:i/>
          <w:color w:val="000000"/>
        </w:rPr>
        <w:t xml:space="preserve">dhimmi </w:t>
      </w:r>
      <w:r>
        <w:rPr>
          <w:rFonts w:ascii="Times New Roman" w:eastAsia="Times New Roman" w:hAnsi="Times New Roman" w:cs="Times New Roman"/>
          <w:color w:val="000000"/>
        </w:rPr>
        <w:t>- es. le case a torre ‘copte’ di Fustat e Jeme, in Egitto (</w:t>
      </w:r>
      <w:r>
        <w:rPr>
          <w:rFonts w:ascii="Times New Roman" w:eastAsia="Times New Roman" w:hAnsi="Times New Roman" w:cs="Times New Roman"/>
          <w:smallCaps/>
        </w:rPr>
        <w:t>Withcomb 2010</w:t>
      </w:r>
      <w:r>
        <w:rPr>
          <w:rFonts w:ascii="Times New Roman" w:eastAsia="Times New Roman" w:hAnsi="Times New Roman" w:cs="Times New Roman"/>
          <w:color w:val="000000"/>
        </w:rPr>
        <w:t xml:space="preserve"> ) (Fig. 2), o quelle </w:t>
      </w:r>
      <w:r>
        <w:rPr>
          <w:rFonts w:ascii="Times New Roman" w:eastAsia="Times New Roman" w:hAnsi="Times New Roman" w:cs="Times New Roman"/>
          <w:color w:val="000000"/>
        </w:rPr>
        <w:lastRenderedPageBreak/>
        <w:t>bizantine di Umm al-Jimal e Hesban in Giordania</w:t>
      </w:r>
      <w:r>
        <w:rPr>
          <w:rFonts w:ascii="Times New Roman" w:eastAsia="Times New Roman" w:hAnsi="Times New Roman" w:cs="Times New Roman"/>
        </w:rPr>
        <w:t xml:space="preserve"> -</w:t>
      </w:r>
      <w:r>
        <w:rPr>
          <w:rFonts w:ascii="Times New Roman" w:eastAsia="Times New Roman" w:hAnsi="Times New Roman" w:cs="Times New Roman"/>
          <w:color w:val="000000"/>
        </w:rPr>
        <w:t>, ma i cui modelli tuttavia diventano globalmente e i</w:t>
      </w:r>
      <w:r>
        <w:rPr>
          <w:rFonts w:ascii="Times New Roman" w:eastAsia="Times New Roman" w:hAnsi="Times New Roman" w:cs="Times New Roman"/>
          <w:color w:val="000000"/>
        </w:rPr>
        <w:t>ntegralmente parte della cultura imperiale islamica e, per tale tramite, possono diffondersi ampiamente (quando le condizioni lo richiedano) entro l’intero spazio del califfato di VIII secolo (e anche oltre, verso l’India e il sultanato di Delhi dal XIII s</w:t>
      </w:r>
      <w:r>
        <w:rPr>
          <w:rFonts w:ascii="Times New Roman" w:eastAsia="Times New Roman" w:hAnsi="Times New Roman" w:cs="Times New Roman"/>
          <w:color w:val="000000"/>
        </w:rPr>
        <w:t>ecolo in avanti).</w:t>
      </w:r>
    </w:p>
    <w:p w14:paraId="0000000D" w14:textId="77777777" w:rsidR="0005362F" w:rsidRDefault="00B515AC">
      <w:pPr>
        <w:spacing w:before="240" w:after="240"/>
        <w:jc w:val="both"/>
        <w:rPr>
          <w:rFonts w:ascii="Times New Roman" w:eastAsia="Times New Roman" w:hAnsi="Times New Roman" w:cs="Times New Roman"/>
        </w:rPr>
      </w:pPr>
      <w:r>
        <w:rPr>
          <w:rFonts w:ascii="Times New Roman" w:eastAsia="Times New Roman" w:hAnsi="Times New Roman" w:cs="Times New Roman"/>
          <w:color w:val="000000"/>
        </w:rPr>
        <w:t xml:space="preserve">Sulla base di queste premesse, è facile comprendere come sia impossibile sintetizzare in un breve contributo, come questo, l’enorme repertorio di soluzioni abitative che rappresenta l’esito delle interazioni culturali del maggiore impero </w:t>
      </w:r>
      <w:r>
        <w:rPr>
          <w:rFonts w:ascii="Times New Roman" w:eastAsia="Times New Roman" w:hAnsi="Times New Roman" w:cs="Times New Roman"/>
          <w:color w:val="000000"/>
        </w:rPr>
        <w:t>medievale dell’Eurasia occidentale, quello islamico appunto, principale erede delle tradizioni imperiali pre-medievali romano-bizantina e sasanide.</w:t>
      </w:r>
    </w:p>
    <w:p w14:paraId="0000000E" w14:textId="77777777" w:rsidR="0005362F" w:rsidRDefault="00B515AC">
      <w:pPr>
        <w:spacing w:before="240" w:after="240"/>
        <w:jc w:val="both"/>
        <w:rPr>
          <w:rFonts w:ascii="Times New Roman" w:eastAsia="Times New Roman" w:hAnsi="Times New Roman" w:cs="Times New Roman"/>
        </w:rPr>
      </w:pPr>
      <w:r>
        <w:rPr>
          <w:rFonts w:ascii="Times New Roman" w:eastAsia="Times New Roman" w:hAnsi="Times New Roman" w:cs="Times New Roman"/>
          <w:color w:val="000000"/>
        </w:rPr>
        <w:t>Tuttavia, in apparente contrasto con quanto appena affermato, e</w:t>
      </w:r>
      <w:r>
        <w:rPr>
          <w:rFonts w:ascii="Times New Roman" w:eastAsia="Times New Roman" w:hAnsi="Times New Roman" w:cs="Times New Roman"/>
        </w:rPr>
        <w:t>d</w:t>
      </w:r>
      <w:r>
        <w:rPr>
          <w:rFonts w:ascii="Times New Roman" w:eastAsia="Times New Roman" w:hAnsi="Times New Roman" w:cs="Times New Roman"/>
          <w:color w:val="000000"/>
        </w:rPr>
        <w:t xml:space="preserve"> entro i limiti </w:t>
      </w:r>
      <w:r>
        <w:rPr>
          <w:rFonts w:ascii="Times New Roman" w:eastAsia="Times New Roman" w:hAnsi="Times New Roman" w:cs="Times New Roman"/>
        </w:rPr>
        <w:t>dichiarati</w:t>
      </w:r>
      <w:r>
        <w:rPr>
          <w:rFonts w:ascii="Times New Roman" w:eastAsia="Times New Roman" w:hAnsi="Times New Roman" w:cs="Times New Roman"/>
          <w:color w:val="000000"/>
        </w:rPr>
        <w:t xml:space="preserve">, alcune linee di </w:t>
      </w:r>
      <w:r>
        <w:rPr>
          <w:rFonts w:ascii="Times New Roman" w:eastAsia="Times New Roman" w:hAnsi="Times New Roman" w:cs="Times New Roman"/>
          <w:color w:val="000000"/>
        </w:rPr>
        <w:t>tendenza possono essere individuate adottando la prospettiva di una ‘archeologia delle complessità’, in cui i modelli, anche quando esistono, non forniscono interpretazioni meccaniche e sempre valide, ma si applicano entro contesti che restano, comunque, s</w:t>
      </w:r>
      <w:r>
        <w:rPr>
          <w:rFonts w:ascii="Times New Roman" w:eastAsia="Times New Roman" w:hAnsi="Times New Roman" w:cs="Times New Roman"/>
          <w:color w:val="000000"/>
        </w:rPr>
        <w:t>pecifici.</w:t>
      </w:r>
    </w:p>
    <w:p w14:paraId="0000000F" w14:textId="77777777" w:rsidR="0005362F" w:rsidRDefault="00B515AC">
      <w:pPr>
        <w:spacing w:before="240" w:after="240"/>
        <w:jc w:val="both"/>
        <w:rPr>
          <w:rFonts w:ascii="Times New Roman" w:eastAsia="Times New Roman" w:hAnsi="Times New Roman" w:cs="Times New Roman"/>
        </w:rPr>
      </w:pPr>
      <w:r>
        <w:rPr>
          <w:rFonts w:ascii="Times New Roman" w:eastAsia="Times New Roman" w:hAnsi="Times New Roman" w:cs="Times New Roman"/>
          <w:color w:val="000000"/>
        </w:rPr>
        <w:t>La prima di queste linee di tendenza è il rapporto urbanistico tra case e città, o meglio tra la forma e l’articolazione degli spazi urbani e quello degli edifici residenziali ‘comuni’. Per semplificare la questione prendiamo in considerazione al</w:t>
      </w:r>
      <w:r>
        <w:rPr>
          <w:rFonts w:ascii="Times New Roman" w:eastAsia="Times New Roman" w:hAnsi="Times New Roman" w:cs="Times New Roman"/>
          <w:color w:val="000000"/>
        </w:rPr>
        <w:t xml:space="preserve">cune città di nuova fondazione, come ad esempio Ayla (635, Giordania), Kufa e Baghdad (Iraq, rispettivamente fondate nel 638 e nel 762) (Fig. </w:t>
      </w:r>
      <w:r>
        <w:rPr>
          <w:rFonts w:ascii="Times New Roman" w:eastAsia="Times New Roman" w:hAnsi="Times New Roman" w:cs="Times New Roman"/>
        </w:rPr>
        <w:t>3</w:t>
      </w:r>
      <w:r>
        <w:rPr>
          <w:rFonts w:ascii="Times New Roman" w:eastAsia="Times New Roman" w:hAnsi="Times New Roman" w:cs="Times New Roman"/>
          <w:color w:val="000000"/>
        </w:rPr>
        <w:t>), Fustat-Cairo (641-1516, Egitto) o Sabra Mansuriyya (</w:t>
      </w:r>
      <w:r>
        <w:rPr>
          <w:rFonts w:ascii="Times New Roman" w:eastAsia="Times New Roman" w:hAnsi="Times New Roman" w:cs="Times New Roman"/>
          <w:color w:val="202122"/>
          <w:highlight w:val="white"/>
        </w:rPr>
        <w:t xml:space="preserve">946- 972, </w:t>
      </w:r>
      <w:r>
        <w:rPr>
          <w:rFonts w:ascii="Times New Roman" w:eastAsia="Times New Roman" w:hAnsi="Times New Roman" w:cs="Times New Roman"/>
          <w:color w:val="000000"/>
        </w:rPr>
        <w:t>Tunisia). In esse riconosciamo sia una planimetr</w:t>
      </w:r>
      <w:r>
        <w:rPr>
          <w:rFonts w:ascii="Times New Roman" w:eastAsia="Times New Roman" w:hAnsi="Times New Roman" w:cs="Times New Roman"/>
          <w:color w:val="000000"/>
        </w:rPr>
        <w:t xml:space="preserve">ia complessiva frutto della </w:t>
      </w:r>
      <w:r>
        <w:rPr>
          <w:rFonts w:ascii="Times New Roman" w:eastAsia="Times New Roman" w:hAnsi="Times New Roman" w:cs="Times New Roman"/>
          <w:i/>
          <w:color w:val="000000"/>
        </w:rPr>
        <w:t>longue durée</w:t>
      </w:r>
      <w:r>
        <w:rPr>
          <w:rFonts w:ascii="Times New Roman" w:eastAsia="Times New Roman" w:hAnsi="Times New Roman" w:cs="Times New Roman"/>
          <w:color w:val="000000"/>
        </w:rPr>
        <w:t xml:space="preserve"> urbanistica di tradizione romana (ma anche più antica, come </w:t>
      </w:r>
      <w:r>
        <w:rPr>
          <w:rFonts w:ascii="Times New Roman" w:eastAsia="Times New Roman" w:hAnsi="Times New Roman" w:cs="Times New Roman"/>
        </w:rPr>
        <w:t>si evince</w:t>
      </w:r>
      <w:r>
        <w:rPr>
          <w:rFonts w:ascii="Times New Roman" w:eastAsia="Times New Roman" w:hAnsi="Times New Roman" w:cs="Times New Roman"/>
          <w:color w:val="000000"/>
        </w:rPr>
        <w:t xml:space="preserve"> per la Giordania da </w:t>
      </w:r>
      <w:r>
        <w:rPr>
          <w:rFonts w:ascii="Times New Roman" w:eastAsia="Times New Roman" w:hAnsi="Times New Roman" w:cs="Times New Roman"/>
          <w:smallCaps/>
        </w:rPr>
        <w:t>Al Shqour</w:t>
      </w:r>
      <w:r>
        <w:rPr>
          <w:rFonts w:ascii="Times New Roman" w:eastAsia="Times New Roman" w:hAnsi="Times New Roman" w:cs="Times New Roman"/>
        </w:rPr>
        <w:t xml:space="preserve"> - 2019, pp. 1-48</w:t>
      </w:r>
      <w:r>
        <w:rPr>
          <w:rFonts w:ascii="Times New Roman" w:eastAsia="Times New Roman" w:hAnsi="Times New Roman" w:cs="Times New Roman"/>
          <w:color w:val="000000"/>
        </w:rPr>
        <w:t>), con perimetro rettangolare e assi viari ortogonali, sia la città rotonda di tradizione iranica (</w:t>
      </w:r>
      <w:r>
        <w:rPr>
          <w:rFonts w:ascii="Times New Roman" w:eastAsia="Times New Roman" w:hAnsi="Times New Roman" w:cs="Times New Roman"/>
          <w:color w:val="000000"/>
        </w:rPr>
        <w:t>con esempi ittiti, medi, partici e sasanidi). In entrambi i casi l’adozione di schemi planimetrici antichi viene però modificata dall’interazione con la struttura sociale ed economica della cultura araba. Gli effetti principali consistono in una compartime</w:t>
      </w:r>
      <w:r>
        <w:rPr>
          <w:rFonts w:ascii="Times New Roman" w:eastAsia="Times New Roman" w:hAnsi="Times New Roman" w:cs="Times New Roman"/>
          <w:color w:val="000000"/>
        </w:rPr>
        <w:t>ntazione macro-funzionale dello spazio urbano, il cui centro è occupato inizialmente dalla endiadi “palazzo del governo-moschea del venerdì”, attorno a cui si estende un’ampia area aperta dedicata al mercato settimanale. I quartieri residenziali si distrib</w:t>
      </w:r>
      <w:r>
        <w:rPr>
          <w:rFonts w:ascii="Times New Roman" w:eastAsia="Times New Roman" w:hAnsi="Times New Roman" w:cs="Times New Roman"/>
          <w:color w:val="000000"/>
        </w:rPr>
        <w:t>uiscono attorno a questo nucleo e, come avviene a Kufa, Baghdad e Fustat, vengono ripartiti tra le diverse tribù dei fondatori, ognuna delle quali occupa (almeno all’inizio) un proprio specifico spazio entro la città.</w:t>
      </w:r>
      <w:r>
        <w:rPr>
          <w:rFonts w:ascii="Times New Roman" w:eastAsia="Times New Roman" w:hAnsi="Times New Roman" w:cs="Times New Roman"/>
          <w:b/>
          <w:color w:val="000000"/>
        </w:rPr>
        <w:t xml:space="preserve"> </w:t>
      </w:r>
      <w:r>
        <w:rPr>
          <w:rFonts w:ascii="Times New Roman" w:eastAsia="Times New Roman" w:hAnsi="Times New Roman" w:cs="Times New Roman"/>
          <w:color w:val="000000"/>
        </w:rPr>
        <w:t>Al di fuori delle città murate crescon</w:t>
      </w:r>
      <w:r>
        <w:rPr>
          <w:rFonts w:ascii="Times New Roman" w:eastAsia="Times New Roman" w:hAnsi="Times New Roman" w:cs="Times New Roman"/>
          <w:color w:val="000000"/>
        </w:rPr>
        <w:t>o inoltre grandi sobborghi (talvolta in siti di preesistente insediamento), spesso anch’essi zonizzati, con una distinzione spesso osservata tra aree commerciali, residenziali, produttive e cimiteriali.</w:t>
      </w:r>
      <w:r>
        <w:rPr>
          <w:rFonts w:ascii="Times New Roman" w:eastAsia="Times New Roman" w:hAnsi="Times New Roman" w:cs="Times New Roman"/>
        </w:rPr>
        <w:t xml:space="preserve"> È </w:t>
      </w:r>
      <w:r>
        <w:rPr>
          <w:rFonts w:ascii="Times New Roman" w:eastAsia="Times New Roman" w:hAnsi="Times New Roman" w:cs="Times New Roman"/>
          <w:color w:val="000000"/>
        </w:rPr>
        <w:t>questo il caso, per fare due esempi, sia di Baghdad</w:t>
      </w:r>
      <w:r>
        <w:rPr>
          <w:rFonts w:ascii="Times New Roman" w:eastAsia="Times New Roman" w:hAnsi="Times New Roman" w:cs="Times New Roman"/>
          <w:color w:val="000000"/>
        </w:rPr>
        <w:t xml:space="preserve"> (</w:t>
      </w:r>
      <w:r>
        <w:rPr>
          <w:rFonts w:ascii="Times New Roman" w:eastAsia="Times New Roman" w:hAnsi="Times New Roman" w:cs="Times New Roman"/>
          <w:smallCaps/>
        </w:rPr>
        <w:t>Kennedy</w:t>
      </w:r>
      <w:r>
        <w:rPr>
          <w:rFonts w:ascii="Times New Roman" w:eastAsia="Times New Roman" w:hAnsi="Times New Roman" w:cs="Times New Roman"/>
          <w:color w:val="000000"/>
        </w:rPr>
        <w:t xml:space="preserve"> 2001</w:t>
      </w:r>
      <w:r>
        <w:rPr>
          <w:rFonts w:ascii="Times New Roman" w:eastAsia="Times New Roman" w:hAnsi="Times New Roman" w:cs="Times New Roman"/>
        </w:rPr>
        <w:t>-10</w:t>
      </w:r>
      <w:r>
        <w:rPr>
          <w:rFonts w:ascii="Times New Roman" w:eastAsia="Times New Roman" w:hAnsi="Times New Roman" w:cs="Times New Roman"/>
          <w:color w:val="000000"/>
        </w:rPr>
        <w:t xml:space="preserve">, </w:t>
      </w:r>
      <w:r>
        <w:rPr>
          <w:rFonts w:ascii="Times New Roman" w:eastAsia="Times New Roman" w:hAnsi="Times New Roman" w:cs="Times New Roman"/>
        </w:rPr>
        <w:t>pp. 286-288</w:t>
      </w:r>
      <w:r>
        <w:rPr>
          <w:rFonts w:ascii="Times New Roman" w:eastAsia="Times New Roman" w:hAnsi="Times New Roman" w:cs="Times New Roman"/>
          <w:color w:val="000000"/>
        </w:rPr>
        <w:t>), sia di Palermo (</w:t>
      </w:r>
      <w:r>
        <w:rPr>
          <w:rFonts w:ascii="Times New Roman" w:eastAsia="Times New Roman" w:hAnsi="Times New Roman" w:cs="Times New Roman"/>
          <w:smallCaps/>
        </w:rPr>
        <w:t>Arcifa</w:t>
      </w:r>
      <w:r>
        <w:rPr>
          <w:rFonts w:ascii="Times New Roman" w:eastAsia="Times New Roman" w:hAnsi="Times New Roman" w:cs="Times New Roman"/>
        </w:rPr>
        <w:t xml:space="preserve"> </w:t>
      </w:r>
      <w:r>
        <w:rPr>
          <w:rFonts w:ascii="Times New Roman" w:eastAsia="Times New Roman" w:hAnsi="Times New Roman" w:cs="Times New Roman"/>
          <w:i/>
        </w:rPr>
        <w:t>e al.</w:t>
      </w:r>
      <w:r>
        <w:rPr>
          <w:rFonts w:ascii="Times New Roman" w:eastAsia="Times New Roman" w:hAnsi="Times New Roman" w:cs="Times New Roman"/>
          <w:color w:val="000000"/>
        </w:rPr>
        <w:t xml:space="preserve"> 2012), che si sviluppava in modo polinucleare tra i centri fortificati di Balarm e Halisah e i tre grandi </w:t>
      </w:r>
      <w:r>
        <w:rPr>
          <w:rFonts w:ascii="Times New Roman" w:eastAsia="Times New Roman" w:hAnsi="Times New Roman" w:cs="Times New Roman"/>
          <w:i/>
          <w:color w:val="000000"/>
        </w:rPr>
        <w:t>harat</w:t>
      </w:r>
      <w:r>
        <w:rPr>
          <w:rFonts w:ascii="Times New Roman" w:eastAsia="Times New Roman" w:hAnsi="Times New Roman" w:cs="Times New Roman"/>
          <w:color w:val="000000"/>
        </w:rPr>
        <w:t xml:space="preserve"> non fortificati (ma molto popolosi) di al-Saqâliba (Quartiere degli Schiavoni), Masjid Ibn Saqlâb (Quartiere della moschea di Ibn Saqlâb), lo</w:t>
      </w:r>
      <w:r>
        <w:rPr>
          <w:rFonts w:ascii="Times New Roman" w:eastAsia="Times New Roman" w:hAnsi="Times New Roman" w:cs="Times New Roman"/>
          <w:i/>
          <w:color w:val="000000"/>
        </w:rPr>
        <w:t xml:space="preserve"> harât al-jadîda</w:t>
      </w:r>
      <w:r>
        <w:rPr>
          <w:rFonts w:ascii="Times New Roman" w:eastAsia="Times New Roman" w:hAnsi="Times New Roman" w:cs="Times New Roman"/>
          <w:color w:val="000000"/>
        </w:rPr>
        <w:t xml:space="preserve"> (Quartiere nuovo).</w:t>
      </w:r>
      <w:r>
        <w:rPr>
          <w:rFonts w:ascii="Times New Roman" w:eastAsia="Times New Roman" w:hAnsi="Times New Roman" w:cs="Times New Roman"/>
        </w:rPr>
        <w:t xml:space="preserve"> </w:t>
      </w:r>
    </w:p>
    <w:p w14:paraId="00000010" w14:textId="77777777" w:rsidR="0005362F" w:rsidRDefault="00B515AC">
      <w:pPr>
        <w:spacing w:before="240" w:after="240"/>
        <w:jc w:val="both"/>
        <w:rPr>
          <w:rFonts w:ascii="Times New Roman" w:eastAsia="Times New Roman" w:hAnsi="Times New Roman" w:cs="Times New Roman"/>
        </w:rPr>
      </w:pPr>
      <w:r>
        <w:rPr>
          <w:rFonts w:ascii="Times New Roman" w:eastAsia="Times New Roman" w:hAnsi="Times New Roman" w:cs="Times New Roman"/>
          <w:color w:val="000000"/>
        </w:rPr>
        <w:t xml:space="preserve">La seconda linea di tendenza è relativa alla composizione architettonica, se </w:t>
      </w:r>
      <w:r>
        <w:rPr>
          <w:rFonts w:ascii="Times New Roman" w:eastAsia="Times New Roman" w:hAnsi="Times New Roman" w:cs="Times New Roman"/>
          <w:color w:val="000000"/>
        </w:rPr>
        <w:t>vogliamo, più tipica, dello spazio residenziale, in cui convergono elementi della casa mediterranea antica e bizantina e altri di tradizione arabica pre e proto islamica, oltre a soluzioni tipicamente partico-sasanidi come l’</w:t>
      </w:r>
      <w:r>
        <w:rPr>
          <w:rFonts w:ascii="Times New Roman" w:eastAsia="Times New Roman" w:hAnsi="Times New Roman" w:cs="Times New Roman"/>
          <w:i/>
          <w:color w:val="000000"/>
        </w:rPr>
        <w:t>iwan</w:t>
      </w:r>
      <w:r>
        <w:rPr>
          <w:rFonts w:ascii="Times New Roman" w:eastAsia="Times New Roman" w:hAnsi="Times New Roman" w:cs="Times New Roman"/>
          <w:color w:val="000000"/>
        </w:rPr>
        <w:t>, per gli ambienti di ricev</w:t>
      </w:r>
      <w:r>
        <w:rPr>
          <w:rFonts w:ascii="Times New Roman" w:eastAsia="Times New Roman" w:hAnsi="Times New Roman" w:cs="Times New Roman"/>
          <w:color w:val="000000"/>
        </w:rPr>
        <w:t>imento e rappresentanza.</w:t>
      </w:r>
      <w:r>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 xml:space="preserve">Il risultato è uno spazio domestico caratterizzato dalla compresenza di ambienti coperti e zone aperte (cortili), racchiusi e delimitati da un muro di confine, con articolazioni funzionali orizzontali ed edifici tendenzialmente di </w:t>
      </w:r>
      <w:r>
        <w:rPr>
          <w:rFonts w:ascii="Times New Roman" w:eastAsia="Times New Roman" w:hAnsi="Times New Roman" w:cs="Times New Roman"/>
          <w:color w:val="000000"/>
        </w:rPr>
        <w:t>un solo piano (</w:t>
      </w:r>
      <w:r>
        <w:rPr>
          <w:rFonts w:ascii="Times New Roman" w:eastAsia="Times New Roman" w:hAnsi="Times New Roman" w:cs="Times New Roman"/>
        </w:rPr>
        <w:t>raramente</w:t>
      </w:r>
      <w:r>
        <w:rPr>
          <w:rFonts w:ascii="Times New Roman" w:eastAsia="Times New Roman" w:hAnsi="Times New Roman" w:cs="Times New Roman"/>
          <w:color w:val="000000"/>
        </w:rPr>
        <w:t xml:space="preserve"> </w:t>
      </w:r>
      <w:r>
        <w:rPr>
          <w:rFonts w:ascii="Times New Roman" w:eastAsia="Times New Roman" w:hAnsi="Times New Roman" w:cs="Times New Roman"/>
        </w:rPr>
        <w:t>‘</w:t>
      </w:r>
      <w:r>
        <w:rPr>
          <w:rFonts w:ascii="Times New Roman" w:eastAsia="Times New Roman" w:hAnsi="Times New Roman" w:cs="Times New Roman"/>
          <w:i/>
          <w:color w:val="000000"/>
        </w:rPr>
        <w:t>solarati</w:t>
      </w:r>
      <w:r>
        <w:rPr>
          <w:rFonts w:ascii="Times New Roman" w:eastAsia="Times New Roman" w:hAnsi="Times New Roman" w:cs="Times New Roman"/>
          <w:color w:val="000000"/>
        </w:rPr>
        <w:t>’ per usare una terminologia del medioevo occidentale). In questa tradizione confluiscono e si fondono, ad esempio, sia elementi arabi, schematizzabili dalla planimetria della casa del Profeta Maometto a Medina (a sua volt</w:t>
      </w:r>
      <w:r>
        <w:rPr>
          <w:rFonts w:ascii="Times New Roman" w:eastAsia="Times New Roman" w:hAnsi="Times New Roman" w:cs="Times New Roman"/>
          <w:color w:val="000000"/>
        </w:rPr>
        <w:t xml:space="preserve">a prototipo della moschea - </w:t>
      </w:r>
      <w:r>
        <w:rPr>
          <w:rFonts w:ascii="Times New Roman" w:eastAsia="Times New Roman" w:hAnsi="Times New Roman" w:cs="Times New Roman"/>
          <w:smallCaps/>
        </w:rPr>
        <w:t>Ayyad</w:t>
      </w:r>
      <w:r>
        <w:rPr>
          <w:rFonts w:ascii="Times New Roman" w:eastAsia="Times New Roman" w:hAnsi="Times New Roman" w:cs="Times New Roman"/>
          <w:color w:val="000000"/>
        </w:rPr>
        <w:t xml:space="preserve"> 2013) (Fig. </w:t>
      </w:r>
      <w:r>
        <w:rPr>
          <w:rFonts w:ascii="Times New Roman" w:eastAsia="Times New Roman" w:hAnsi="Times New Roman" w:cs="Times New Roman"/>
        </w:rPr>
        <w:t>4</w:t>
      </w:r>
      <w:r>
        <w:rPr>
          <w:rFonts w:ascii="Times New Roman" w:eastAsia="Times New Roman" w:hAnsi="Times New Roman" w:cs="Times New Roman"/>
          <w:color w:val="000000"/>
        </w:rPr>
        <w:t>), sia elementi mediterranei quali le case con peristilio di tradizione classica e quelle con cortile e unità nucleari di tradizione bizantina. Dal punto di vista della accessibilità sociale, inoltre, la casa,</w:t>
      </w:r>
      <w:r>
        <w:rPr>
          <w:rFonts w:ascii="Times New Roman" w:eastAsia="Times New Roman" w:hAnsi="Times New Roman" w:cs="Times New Roman"/>
          <w:color w:val="000000"/>
        </w:rPr>
        <w:t xml:space="preserve"> presenta un sistema concentrico di livelli di </w:t>
      </w:r>
      <w:r>
        <w:rPr>
          <w:rFonts w:ascii="Times New Roman" w:eastAsia="Times New Roman" w:hAnsi="Times New Roman" w:cs="Times New Roman"/>
          <w:i/>
          <w:color w:val="000000"/>
        </w:rPr>
        <w:t>privacy</w:t>
      </w:r>
      <w:r>
        <w:rPr>
          <w:rFonts w:ascii="Times New Roman" w:eastAsia="Times New Roman" w:hAnsi="Times New Roman" w:cs="Times New Roman"/>
          <w:color w:val="000000"/>
        </w:rPr>
        <w:t xml:space="preserve"> che regola rigidamente i protocolli di accesso ai diversi ambienti del complesso residenziale. </w:t>
      </w:r>
    </w:p>
    <w:p w14:paraId="00000011" w14:textId="77777777" w:rsidR="0005362F" w:rsidRDefault="00B515AC">
      <w:pPr>
        <w:spacing w:before="240" w:after="240"/>
        <w:jc w:val="both"/>
        <w:rPr>
          <w:rFonts w:ascii="Times New Roman" w:eastAsia="Times New Roman" w:hAnsi="Times New Roman" w:cs="Times New Roman"/>
        </w:rPr>
      </w:pPr>
      <w:r>
        <w:rPr>
          <w:rFonts w:ascii="Times New Roman" w:eastAsia="Times New Roman" w:hAnsi="Times New Roman" w:cs="Times New Roman"/>
          <w:color w:val="000000"/>
        </w:rPr>
        <w:lastRenderedPageBreak/>
        <w:t xml:space="preserve">A questo punto si propongono alcuni esempi dal Bilad al Sham, in particolare dall’odierna Giordania, con </w:t>
      </w:r>
      <w:r>
        <w:rPr>
          <w:rFonts w:ascii="Times New Roman" w:eastAsia="Times New Roman" w:hAnsi="Times New Roman" w:cs="Times New Roman"/>
          <w:color w:val="000000"/>
        </w:rPr>
        <w:t>una puntata sino a Fustat in Egittot.</w:t>
      </w:r>
    </w:p>
    <w:p w14:paraId="00000012" w14:textId="77777777" w:rsidR="0005362F" w:rsidRDefault="00B515AC">
      <w:pPr>
        <w:spacing w:before="240" w:after="240"/>
        <w:jc w:val="both"/>
        <w:rPr>
          <w:rFonts w:ascii="Times New Roman" w:eastAsia="Times New Roman" w:hAnsi="Times New Roman" w:cs="Times New Roman"/>
        </w:rPr>
      </w:pPr>
      <w:r>
        <w:rPr>
          <w:rFonts w:ascii="Times New Roman" w:eastAsia="Times New Roman" w:hAnsi="Times New Roman" w:cs="Times New Roman"/>
        </w:rPr>
        <w:t>[M. N.]</w:t>
      </w:r>
    </w:p>
    <w:p w14:paraId="00000013" w14:textId="77777777" w:rsidR="0005362F" w:rsidRDefault="00B515AC">
      <w:pPr>
        <w:spacing w:before="240" w:after="240"/>
        <w:jc w:val="both"/>
        <w:rPr>
          <w:rFonts w:ascii="Times New Roman" w:eastAsia="Times New Roman" w:hAnsi="Times New Roman" w:cs="Times New Roman"/>
          <w:i/>
        </w:rPr>
      </w:pPr>
      <w:r>
        <w:rPr>
          <w:rFonts w:ascii="Times New Roman" w:eastAsia="Times New Roman" w:hAnsi="Times New Roman" w:cs="Times New Roman"/>
          <w:i/>
        </w:rPr>
        <w:t>2. Casi studio dalla Giordania</w:t>
      </w:r>
    </w:p>
    <w:p w14:paraId="00000014" w14:textId="77777777" w:rsidR="0005362F" w:rsidRDefault="00B515AC">
      <w:pPr>
        <w:spacing w:before="240" w:after="240"/>
        <w:jc w:val="both"/>
        <w:rPr>
          <w:rFonts w:ascii="Times New Roman" w:eastAsia="Times New Roman" w:hAnsi="Times New Roman" w:cs="Times New Roman"/>
        </w:rPr>
      </w:pPr>
      <w:r>
        <w:rPr>
          <w:rFonts w:ascii="Times New Roman" w:eastAsia="Times New Roman" w:hAnsi="Times New Roman" w:cs="Times New Roman"/>
        </w:rPr>
        <w:t>Nell’area dell’attuale Giordania i siti urbani studiati che permettono di riflettere sull’idea di casa</w:t>
      </w:r>
      <w:r>
        <w:rPr>
          <w:rFonts w:ascii="Times New Roman" w:eastAsia="Times New Roman" w:hAnsi="Times New Roman" w:cs="Times New Roman"/>
          <w:color w:val="000000"/>
        </w:rPr>
        <w:t xml:space="preserve"> sono principalmente quelli di Amman (la </w:t>
      </w:r>
      <w:r>
        <w:rPr>
          <w:rFonts w:ascii="Times New Roman" w:eastAsia="Times New Roman" w:hAnsi="Times New Roman" w:cs="Times New Roman"/>
          <w:color w:val="202122"/>
          <w:highlight w:val="white"/>
        </w:rPr>
        <w:t xml:space="preserve">Philadelphia del periodo classico), </w:t>
      </w:r>
      <w:r>
        <w:rPr>
          <w:rFonts w:ascii="Times New Roman" w:eastAsia="Times New Roman" w:hAnsi="Times New Roman" w:cs="Times New Roman"/>
          <w:color w:val="202122"/>
          <w:highlight w:val="white"/>
        </w:rPr>
        <w:t>Jerash (Gerasa), Aqaba (Ayla), Tell Hesban, al Habis (Petra) e Shawbak (Fig. 9).</w:t>
      </w:r>
    </w:p>
    <w:p w14:paraId="00000015" w14:textId="77777777" w:rsidR="0005362F" w:rsidRDefault="00B515AC">
      <w:pPr>
        <w:spacing w:before="240" w:after="240"/>
        <w:jc w:val="both"/>
        <w:rPr>
          <w:rFonts w:ascii="Times New Roman" w:eastAsia="Times New Roman" w:hAnsi="Times New Roman" w:cs="Times New Roman"/>
        </w:rPr>
      </w:pPr>
      <w:r>
        <w:rPr>
          <w:rFonts w:ascii="Times New Roman" w:eastAsia="Times New Roman" w:hAnsi="Times New Roman" w:cs="Times New Roman"/>
        </w:rPr>
        <w:t>Del</w:t>
      </w:r>
      <w:r>
        <w:rPr>
          <w:rFonts w:ascii="Times New Roman" w:eastAsia="Times New Roman" w:hAnsi="Times New Roman" w:cs="Times New Roman"/>
          <w:color w:val="000000"/>
        </w:rPr>
        <w:t xml:space="preserve">l’attuale capitale giordana, Amman, in particolare della sua prima fase fase islamica, omayyade, si sono occupati nel corso del tempo </w:t>
      </w:r>
      <w:r>
        <w:rPr>
          <w:rFonts w:ascii="Times New Roman" w:eastAsia="Times New Roman" w:hAnsi="Times New Roman" w:cs="Times New Roman"/>
        </w:rPr>
        <w:t>molti studiosi</w:t>
      </w:r>
      <w:r>
        <w:rPr>
          <w:rFonts w:ascii="Times New Roman" w:eastAsia="Times New Roman" w:hAnsi="Times New Roman" w:cs="Times New Roman"/>
          <w:color w:val="000000"/>
        </w:rPr>
        <w:t xml:space="preserve"> (</w:t>
      </w:r>
      <w:r>
        <w:rPr>
          <w:rFonts w:ascii="Times New Roman" w:eastAsia="Times New Roman" w:hAnsi="Times New Roman" w:cs="Times New Roman"/>
          <w:smallCaps/>
        </w:rPr>
        <w:t>Northedge</w:t>
      </w:r>
      <w:r>
        <w:rPr>
          <w:rFonts w:ascii="Times New Roman" w:eastAsia="Times New Roman" w:hAnsi="Times New Roman" w:cs="Times New Roman"/>
          <w:color w:val="000000"/>
        </w:rPr>
        <w:t xml:space="preserve"> et al. 1992</w:t>
      </w:r>
      <w:r>
        <w:rPr>
          <w:rFonts w:ascii="Times New Roman" w:eastAsia="Times New Roman" w:hAnsi="Times New Roman" w:cs="Times New Roman"/>
        </w:rPr>
        <w:t>;</w:t>
      </w:r>
      <w:r>
        <w:rPr>
          <w:rFonts w:ascii="Times New Roman" w:eastAsia="Times New Roman" w:hAnsi="Times New Roman" w:cs="Times New Roman"/>
          <w:color w:val="000000"/>
        </w:rPr>
        <w:t xml:space="preserve"> </w:t>
      </w:r>
      <w:r>
        <w:rPr>
          <w:rFonts w:ascii="Times New Roman" w:eastAsia="Times New Roman" w:hAnsi="Times New Roman" w:cs="Times New Roman"/>
          <w:smallCaps/>
        </w:rPr>
        <w:t>Almagro, Jiménez</w:t>
      </w:r>
      <w:r>
        <w:rPr>
          <w:rFonts w:ascii="Times New Roman" w:eastAsia="Times New Roman" w:hAnsi="Times New Roman" w:cs="Times New Roman"/>
          <w:color w:val="000000"/>
        </w:rPr>
        <w:t xml:space="preserve"> 2000; </w:t>
      </w:r>
      <w:r>
        <w:rPr>
          <w:rFonts w:ascii="Times New Roman" w:eastAsia="Times New Roman" w:hAnsi="Times New Roman" w:cs="Times New Roman"/>
          <w:smallCaps/>
        </w:rPr>
        <w:t>Arce</w:t>
      </w:r>
      <w:r>
        <w:rPr>
          <w:rFonts w:ascii="Times New Roman" w:eastAsia="Times New Roman" w:hAnsi="Times New Roman" w:cs="Times New Roman"/>
          <w:color w:val="000000"/>
        </w:rPr>
        <w:t xml:space="preserve"> 2009, </w:t>
      </w:r>
      <w:r>
        <w:rPr>
          <w:rFonts w:ascii="Times New Roman" w:eastAsia="Times New Roman" w:hAnsi="Times New Roman" w:cs="Times New Roman"/>
          <w:smallCaps/>
        </w:rPr>
        <w:t>Northedge</w:t>
      </w:r>
      <w:r>
        <w:rPr>
          <w:rFonts w:ascii="Times New Roman" w:eastAsia="Times New Roman" w:hAnsi="Times New Roman" w:cs="Times New Roman"/>
          <w:color w:val="000000"/>
        </w:rPr>
        <w:t xml:space="preserve"> 2012). Si tratta di un’area che è stata più volte oggetto di pesanti terremoti</w:t>
      </w:r>
      <w:r>
        <w:rPr>
          <w:rFonts w:ascii="Times New Roman" w:eastAsia="Times New Roman" w:hAnsi="Times New Roman" w:cs="Times New Roman"/>
        </w:rPr>
        <w:t>, che hanno complicato la già</w:t>
      </w:r>
      <w:r>
        <w:rPr>
          <w:rFonts w:ascii="Times New Roman" w:eastAsia="Times New Roman" w:hAnsi="Times New Roman" w:cs="Times New Roman"/>
          <w:color w:val="000000"/>
        </w:rPr>
        <w:t xml:space="preserve"> complessa evidenza materiale</w:t>
      </w:r>
      <w:r>
        <w:rPr>
          <w:rFonts w:ascii="Times New Roman" w:eastAsia="Times New Roman" w:hAnsi="Times New Roman" w:cs="Times New Roman"/>
        </w:rPr>
        <w:t>,</w:t>
      </w:r>
      <w:r>
        <w:rPr>
          <w:rFonts w:ascii="Times New Roman" w:eastAsia="Times New Roman" w:hAnsi="Times New Roman" w:cs="Times New Roman"/>
          <w:color w:val="000000"/>
        </w:rPr>
        <w:t xml:space="preserve"> </w:t>
      </w:r>
      <w:r>
        <w:rPr>
          <w:rFonts w:ascii="Times New Roman" w:eastAsia="Times New Roman" w:hAnsi="Times New Roman" w:cs="Times New Roman"/>
        </w:rPr>
        <w:t>tra cui si possono annoverare</w:t>
      </w:r>
      <w:r>
        <w:rPr>
          <w:rFonts w:ascii="Times New Roman" w:eastAsia="Times New Roman" w:hAnsi="Times New Roman" w:cs="Times New Roman"/>
          <w:color w:val="000000"/>
        </w:rPr>
        <w:t xml:space="preserve"> almeno un palazzo, una moschea e un</w:t>
      </w:r>
      <w:r>
        <w:rPr>
          <w:rFonts w:ascii="Times New Roman" w:eastAsia="Times New Roman" w:hAnsi="Times New Roman" w:cs="Times New Roman"/>
        </w:rPr>
        <w:t>a zona</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aperta adibita a mercato, oltre che un gruppo di abitazioni, cinque delle quali sono state parzialmente scavate. </w:t>
      </w:r>
      <w:r>
        <w:rPr>
          <w:rFonts w:ascii="Times New Roman" w:eastAsia="Times New Roman" w:hAnsi="Times New Roman" w:cs="Times New Roman"/>
        </w:rPr>
        <w:t>In particolare, di estremo interesse per discutere questioni relative all’edilizia civile sembra essere l</w:t>
      </w:r>
      <w:r>
        <w:rPr>
          <w:rFonts w:ascii="Times New Roman" w:eastAsia="Times New Roman" w:hAnsi="Times New Roman" w:cs="Times New Roman"/>
          <w:color w:val="000000"/>
        </w:rPr>
        <w:t>'edificio B,</w:t>
      </w:r>
      <w:r>
        <w:rPr>
          <w:rFonts w:ascii="Times New Roman" w:eastAsia="Times New Roman" w:hAnsi="Times New Roman" w:cs="Times New Roman"/>
          <w:b/>
          <w:color w:val="000000"/>
        </w:rPr>
        <w:t xml:space="preserve"> </w:t>
      </w:r>
      <w:r>
        <w:rPr>
          <w:rFonts w:ascii="Times New Roman" w:eastAsia="Times New Roman" w:hAnsi="Times New Roman" w:cs="Times New Roman"/>
          <w:color w:val="000000"/>
        </w:rPr>
        <w:t xml:space="preserve">come descritto </w:t>
      </w:r>
      <w:r>
        <w:rPr>
          <w:rFonts w:ascii="Times New Roman" w:eastAsia="Times New Roman" w:hAnsi="Times New Roman" w:cs="Times New Roman"/>
        </w:rPr>
        <w:t xml:space="preserve">in Northedge 2012. Esso è </w:t>
      </w:r>
      <w:r>
        <w:rPr>
          <w:rFonts w:ascii="Times New Roman" w:eastAsia="Times New Roman" w:hAnsi="Times New Roman" w:cs="Times New Roman"/>
          <w:color w:val="000000"/>
        </w:rPr>
        <w:t>piuttosto grande</w:t>
      </w:r>
      <w:r>
        <w:rPr>
          <w:rFonts w:ascii="Times New Roman" w:eastAsia="Times New Roman" w:hAnsi="Times New Roman" w:cs="Times New Roman"/>
        </w:rPr>
        <w:t xml:space="preserve"> e </w:t>
      </w:r>
      <w:r>
        <w:rPr>
          <w:rFonts w:ascii="Times New Roman" w:eastAsia="Times New Roman" w:hAnsi="Times New Roman" w:cs="Times New Roman"/>
          <w:color w:val="000000"/>
        </w:rPr>
        <w:t xml:space="preserve">ha </w:t>
      </w:r>
      <w:r>
        <w:rPr>
          <w:rFonts w:ascii="Times New Roman" w:eastAsia="Times New Roman" w:hAnsi="Times New Roman" w:cs="Times New Roman"/>
        </w:rPr>
        <w:t>la</w:t>
      </w:r>
      <w:r>
        <w:rPr>
          <w:rFonts w:ascii="Times New Roman" w:eastAsia="Times New Roman" w:hAnsi="Times New Roman" w:cs="Times New Roman"/>
          <w:color w:val="000000"/>
        </w:rPr>
        <w:t xml:space="preserve"> facciata, sul lato ovest, di almeno 18 m. Sembra comprendesse più unità abitative. La casa </w:t>
      </w:r>
      <w:r>
        <w:rPr>
          <w:rFonts w:ascii="Times New Roman" w:eastAsia="Times New Roman" w:hAnsi="Times New Roman" w:cs="Times New Roman"/>
        </w:rPr>
        <w:t>è composta da</w:t>
      </w:r>
      <w:r>
        <w:rPr>
          <w:rFonts w:ascii="Times New Roman" w:eastAsia="Times New Roman" w:hAnsi="Times New Roman" w:cs="Times New Roman"/>
          <w:color w:val="000000"/>
        </w:rPr>
        <w:t xml:space="preserve"> stanze che circondano un cortile a J, sebbene né il muro meridionale né la porta principale siano st</w:t>
      </w:r>
      <w:r>
        <w:rPr>
          <w:rFonts w:ascii="Times New Roman" w:eastAsia="Times New Roman" w:hAnsi="Times New Roman" w:cs="Times New Roman"/>
          <w:color w:val="000000"/>
        </w:rPr>
        <w:t>ati scavati nella loro interezza. Il cortile, così come noto ad oggi, è largo 8,6 m, e al suo interno è presente una cisterna, con almeno due fasi d’uso. Questo edificio appartiene alla costruzione della cittadella omayyad</w:t>
      </w:r>
      <w:r>
        <w:rPr>
          <w:rFonts w:ascii="Times New Roman" w:eastAsia="Times New Roman" w:hAnsi="Times New Roman" w:cs="Times New Roman"/>
        </w:rPr>
        <w:t>e</w:t>
      </w:r>
      <w:r>
        <w:rPr>
          <w:rFonts w:ascii="Times New Roman" w:eastAsia="Times New Roman" w:hAnsi="Times New Roman" w:cs="Times New Roman"/>
          <w:color w:val="000000"/>
        </w:rPr>
        <w:t>, eretta tra il 105/724 e il 126/</w:t>
      </w:r>
      <w:r>
        <w:rPr>
          <w:rFonts w:ascii="Times New Roman" w:eastAsia="Times New Roman" w:hAnsi="Times New Roman" w:cs="Times New Roman"/>
          <w:color w:val="000000"/>
        </w:rPr>
        <w:t>744. Il secondo edificio</w:t>
      </w:r>
      <w:r>
        <w:rPr>
          <w:rFonts w:ascii="Times New Roman" w:eastAsia="Times New Roman" w:hAnsi="Times New Roman" w:cs="Times New Roman"/>
        </w:rPr>
        <w:t>, di cui è stato riconosciuto l’</w:t>
      </w:r>
      <w:r>
        <w:rPr>
          <w:rFonts w:ascii="Times New Roman" w:eastAsia="Times New Roman" w:hAnsi="Times New Roman" w:cs="Times New Roman"/>
          <w:color w:val="000000"/>
        </w:rPr>
        <w:t xml:space="preserve">uso residenziale, era costituito da una serie di ambienti, </w:t>
      </w:r>
      <w:r>
        <w:rPr>
          <w:rFonts w:ascii="Times New Roman" w:eastAsia="Times New Roman" w:hAnsi="Times New Roman" w:cs="Times New Roman"/>
        </w:rPr>
        <w:t>che formavano</w:t>
      </w:r>
      <w:r>
        <w:rPr>
          <w:rFonts w:ascii="Times New Roman" w:eastAsia="Times New Roman" w:hAnsi="Times New Roman" w:cs="Times New Roman"/>
          <w:color w:val="000000"/>
        </w:rPr>
        <w:t>, anche in questo caso, più di un'unità abitativa. La casa principale misurava 18,4 x c. 20 m, e consisteva in un cortile (H), c</w:t>
      </w:r>
      <w:r>
        <w:rPr>
          <w:rFonts w:ascii="Times New Roman" w:eastAsia="Times New Roman" w:hAnsi="Times New Roman" w:cs="Times New Roman"/>
          <w:color w:val="000000"/>
        </w:rPr>
        <w:t xml:space="preserve">on un ingresso esterno nell'area non scavata a ovest, circondato da stanze sui lati ovest, nord ed est. La stanza D, sul lato nord, aveva una porta di 2 m di larghezza e potrebbe essere stata </w:t>
      </w:r>
      <w:r>
        <w:rPr>
          <w:rFonts w:ascii="Times New Roman" w:eastAsia="Times New Roman" w:hAnsi="Times New Roman" w:cs="Times New Roman"/>
        </w:rPr>
        <w:t>una</w:t>
      </w:r>
      <w:r>
        <w:rPr>
          <w:rFonts w:ascii="Times New Roman" w:eastAsia="Times New Roman" w:hAnsi="Times New Roman" w:cs="Times New Roman"/>
          <w:color w:val="000000"/>
        </w:rPr>
        <w:t xml:space="preserve"> sala di ricevimento. Le stanze C ed E si aprono, a formare u</w:t>
      </w:r>
      <w:r>
        <w:rPr>
          <w:rFonts w:ascii="Times New Roman" w:eastAsia="Times New Roman" w:hAnsi="Times New Roman" w:cs="Times New Roman"/>
          <w:color w:val="000000"/>
        </w:rPr>
        <w:t xml:space="preserve">n </w:t>
      </w:r>
      <w:r>
        <w:rPr>
          <w:rFonts w:ascii="Times New Roman" w:eastAsia="Times New Roman" w:hAnsi="Times New Roman" w:cs="Times New Roman"/>
          <w:i/>
          <w:color w:val="000000"/>
        </w:rPr>
        <w:t xml:space="preserve">bayt </w:t>
      </w:r>
      <w:r>
        <w:rPr>
          <w:rFonts w:ascii="Times New Roman" w:eastAsia="Times New Roman" w:hAnsi="Times New Roman" w:cs="Times New Roman"/>
          <w:color w:val="000000"/>
        </w:rPr>
        <w:t xml:space="preserve">(letteralmente un ‘appartamento’, dotato di sala centrale e due o quattro ambienti laterali con accesso dalla sala). La stanza P potrebbe essere stata una latrina. </w:t>
      </w:r>
      <w:r>
        <w:rPr>
          <w:rFonts w:ascii="Times New Roman" w:eastAsia="Times New Roman" w:hAnsi="Times New Roman" w:cs="Times New Roman"/>
        </w:rPr>
        <w:t xml:space="preserve">degna di </w:t>
      </w:r>
      <w:r>
        <w:rPr>
          <w:rFonts w:ascii="Times New Roman" w:eastAsia="Times New Roman" w:hAnsi="Times New Roman" w:cs="Times New Roman"/>
          <w:color w:val="000000"/>
        </w:rPr>
        <w:t>nota inoltre è la presenza di una cisterna nella stanza J. Anche in questo s</w:t>
      </w:r>
      <w:r>
        <w:rPr>
          <w:rFonts w:ascii="Times New Roman" w:eastAsia="Times New Roman" w:hAnsi="Times New Roman" w:cs="Times New Roman"/>
          <w:color w:val="000000"/>
        </w:rPr>
        <w:t>embra che la cronologia della prima fase di vita degli ambienti corra tra il 724 e il 749.</w:t>
      </w:r>
      <w:r>
        <w:rPr>
          <w:rFonts w:ascii="Times New Roman" w:eastAsia="Times New Roman" w:hAnsi="Times New Roman" w:cs="Times New Roman"/>
        </w:rPr>
        <w:t xml:space="preserve"> L</w:t>
      </w:r>
      <w:r>
        <w:rPr>
          <w:rFonts w:ascii="Times New Roman" w:eastAsia="Times New Roman" w:hAnsi="Times New Roman" w:cs="Times New Roman"/>
          <w:color w:val="000000"/>
        </w:rPr>
        <w:t xml:space="preserve">a fase islamica di Jerash (la Gerasa antica, che faceva parte della Decapolis), benchè sia da decenni oggetto di studi e scavi da parte di molti gruppi di ricerca, </w:t>
      </w:r>
      <w:r>
        <w:rPr>
          <w:rFonts w:ascii="Times New Roman" w:eastAsia="Times New Roman" w:hAnsi="Times New Roman" w:cs="Times New Roman"/>
          <w:color w:val="000000"/>
        </w:rPr>
        <w:t>è tutt’oggi poco nota</w:t>
      </w:r>
      <w:r>
        <w:rPr>
          <w:rFonts w:ascii="Times New Roman" w:eastAsia="Times New Roman" w:hAnsi="Times New Roman" w:cs="Times New Roman"/>
        </w:rPr>
        <w:t>, soprattutto a riguardo dell’oggetto di questa comunicazione, l’edilizia abitativa civile (</w:t>
      </w:r>
      <w:r>
        <w:rPr>
          <w:rFonts w:ascii="Times New Roman" w:eastAsia="Times New Roman" w:hAnsi="Times New Roman" w:cs="Times New Roman"/>
          <w:smallCaps/>
        </w:rPr>
        <w:t>Lichtenberger</w:t>
      </w:r>
      <w:r>
        <w:rPr>
          <w:rFonts w:ascii="Times New Roman" w:eastAsia="Times New Roman" w:hAnsi="Times New Roman" w:cs="Times New Roman"/>
        </w:rPr>
        <w:t xml:space="preserve">, </w:t>
      </w:r>
      <w:r>
        <w:rPr>
          <w:rFonts w:ascii="Times New Roman" w:eastAsia="Times New Roman" w:hAnsi="Times New Roman" w:cs="Times New Roman"/>
          <w:smallCaps/>
        </w:rPr>
        <w:t>Raja</w:t>
      </w:r>
      <w:r>
        <w:rPr>
          <w:rFonts w:ascii="Times New Roman" w:eastAsia="Times New Roman" w:hAnsi="Times New Roman" w:cs="Times New Roman"/>
        </w:rPr>
        <w:t xml:space="preserve"> 2016, p. 319 e nn. 10 e 12)</w:t>
      </w:r>
      <w:r>
        <w:rPr>
          <w:rFonts w:ascii="Times New Roman" w:eastAsia="Times New Roman" w:hAnsi="Times New Roman" w:cs="Times New Roman"/>
          <w:color w:val="000000"/>
        </w:rPr>
        <w:t>. Abitazioni di epoca omayyade (con ristrutturazioni successive, di epoca abbaside</w:t>
      </w:r>
      <w:r>
        <w:rPr>
          <w:rFonts w:ascii="Times New Roman" w:eastAsia="Times New Roman" w:hAnsi="Times New Roman" w:cs="Times New Roman"/>
        </w:rPr>
        <w:t>)</w:t>
      </w:r>
      <w:r>
        <w:rPr>
          <w:rFonts w:ascii="Times New Roman" w:eastAsia="Times New Roman" w:hAnsi="Times New Roman" w:cs="Times New Roman"/>
          <w:color w:val="000000"/>
        </w:rPr>
        <w:t xml:space="preserve"> sono state i</w:t>
      </w:r>
      <w:r>
        <w:rPr>
          <w:rFonts w:ascii="Times New Roman" w:eastAsia="Times New Roman" w:hAnsi="Times New Roman" w:cs="Times New Roman"/>
          <w:color w:val="000000"/>
        </w:rPr>
        <w:t>ndividuate, a più riprese, nell’area centrale della città antica, presso il decumano sud, e nel quartiere nord-occidentale</w:t>
      </w:r>
      <w:r>
        <w:rPr>
          <w:rFonts w:ascii="Times New Roman" w:eastAsia="Times New Roman" w:hAnsi="Times New Roman" w:cs="Times New Roman"/>
        </w:rPr>
        <w:t xml:space="preserve"> (per una revisione delle ricerche sull’edilizia civile postclassica di Gerasa si vedano </w:t>
      </w:r>
      <w:r>
        <w:rPr>
          <w:rFonts w:ascii="Times New Roman" w:eastAsia="Times New Roman" w:hAnsi="Times New Roman" w:cs="Times New Roman"/>
          <w:smallCaps/>
        </w:rPr>
        <w:t>Lichtenberger</w:t>
      </w:r>
      <w:r>
        <w:rPr>
          <w:rFonts w:ascii="Times New Roman" w:eastAsia="Times New Roman" w:hAnsi="Times New Roman" w:cs="Times New Roman"/>
        </w:rPr>
        <w:t xml:space="preserve">, </w:t>
      </w:r>
      <w:r>
        <w:rPr>
          <w:rFonts w:ascii="Times New Roman" w:eastAsia="Times New Roman" w:hAnsi="Times New Roman" w:cs="Times New Roman"/>
          <w:smallCaps/>
        </w:rPr>
        <w:t>Raja</w:t>
      </w:r>
      <w:r>
        <w:rPr>
          <w:rFonts w:ascii="Times New Roman" w:eastAsia="Times New Roman" w:hAnsi="Times New Roman" w:cs="Times New Roman"/>
        </w:rPr>
        <w:t xml:space="preserve"> 2015 e 2016)</w:t>
      </w:r>
      <w:r>
        <w:rPr>
          <w:rFonts w:ascii="Times New Roman" w:eastAsia="Times New Roman" w:hAnsi="Times New Roman" w:cs="Times New Roman"/>
          <w:color w:val="000000"/>
        </w:rPr>
        <w:t>. La casa pre</w:t>
      </w:r>
      <w:r>
        <w:rPr>
          <w:rFonts w:ascii="Times New Roman" w:eastAsia="Times New Roman" w:hAnsi="Times New Roman" w:cs="Times New Roman"/>
          <w:color w:val="000000"/>
        </w:rPr>
        <w:t>sso il decumano sud, scavata dal polacco Michel Gawlikowski nel 1986, è formata da più ambienti aperti su di una corte, così come il composito edificio nel quartiere ovest, di cui sono state messe in evidenza più fasi, databili tra la fine del VII secolo e</w:t>
      </w:r>
      <w:r>
        <w:rPr>
          <w:rFonts w:ascii="Times New Roman" w:eastAsia="Times New Roman" w:hAnsi="Times New Roman" w:cs="Times New Roman"/>
          <w:color w:val="000000"/>
        </w:rPr>
        <w:t xml:space="preserve"> l’VIII e poi, probabilmente, anche di epoca abbaside e successivamente, forse, mamelucca (</w:t>
      </w:r>
      <w:r>
        <w:rPr>
          <w:rFonts w:ascii="Times New Roman" w:eastAsia="Times New Roman" w:hAnsi="Times New Roman" w:cs="Times New Roman"/>
          <w:smallCaps/>
        </w:rPr>
        <w:t>Lichtenberger</w:t>
      </w:r>
      <w:r>
        <w:rPr>
          <w:rFonts w:ascii="Times New Roman" w:eastAsia="Times New Roman" w:hAnsi="Times New Roman" w:cs="Times New Roman"/>
        </w:rPr>
        <w:t xml:space="preserve">, </w:t>
      </w:r>
      <w:r>
        <w:rPr>
          <w:rFonts w:ascii="Times New Roman" w:eastAsia="Times New Roman" w:hAnsi="Times New Roman" w:cs="Times New Roman"/>
          <w:smallCaps/>
        </w:rPr>
        <w:t>Raja</w:t>
      </w:r>
      <w:r>
        <w:rPr>
          <w:rFonts w:ascii="Times New Roman" w:eastAsia="Times New Roman" w:hAnsi="Times New Roman" w:cs="Times New Roman"/>
          <w:color w:val="000000"/>
        </w:rPr>
        <w:t xml:space="preserve"> 2015). Altre abitazioni sono state individuate anche presso la moschea congregazionale: gli edifici, oltre ad avere il medesimo schema compositiv</w:t>
      </w:r>
      <w:r>
        <w:rPr>
          <w:rFonts w:ascii="Times New Roman" w:eastAsia="Times New Roman" w:hAnsi="Times New Roman" w:cs="Times New Roman"/>
          <w:color w:val="000000"/>
        </w:rPr>
        <w:t xml:space="preserve">o </w:t>
      </w:r>
      <w:r>
        <w:rPr>
          <w:rFonts w:ascii="Times New Roman" w:eastAsia="Times New Roman" w:hAnsi="Times New Roman" w:cs="Times New Roman"/>
        </w:rPr>
        <w:t>formato</w:t>
      </w:r>
      <w:r>
        <w:rPr>
          <w:rFonts w:ascii="Times New Roman" w:eastAsia="Times New Roman" w:hAnsi="Times New Roman" w:cs="Times New Roman"/>
          <w:color w:val="000000"/>
        </w:rPr>
        <w:t xml:space="preserve"> d</w:t>
      </w:r>
      <w:r>
        <w:rPr>
          <w:rFonts w:ascii="Times New Roman" w:eastAsia="Times New Roman" w:hAnsi="Times New Roman" w:cs="Times New Roman"/>
        </w:rPr>
        <w:t>a</w:t>
      </w:r>
      <w:r>
        <w:rPr>
          <w:rFonts w:ascii="Times New Roman" w:eastAsia="Times New Roman" w:hAnsi="Times New Roman" w:cs="Times New Roman"/>
          <w:color w:val="000000"/>
        </w:rPr>
        <w:t xml:space="preserve"> più stanze su un’area aperta, </w:t>
      </w:r>
      <w:r>
        <w:rPr>
          <w:rFonts w:ascii="Times New Roman" w:eastAsia="Times New Roman" w:hAnsi="Times New Roman" w:cs="Times New Roman"/>
        </w:rPr>
        <w:t xml:space="preserve">vedono tutte la presenza della cisterna </w:t>
      </w:r>
      <w:r>
        <w:rPr>
          <w:rFonts w:ascii="Times New Roman" w:eastAsia="Times New Roman" w:hAnsi="Times New Roman" w:cs="Times New Roman"/>
          <w:color w:val="000000"/>
        </w:rPr>
        <w:t>nella corte (</w:t>
      </w:r>
      <w:r>
        <w:rPr>
          <w:rFonts w:ascii="Times New Roman" w:eastAsia="Times New Roman" w:hAnsi="Times New Roman" w:cs="Times New Roman"/>
        </w:rPr>
        <w:t>Fig. 5 per confrontare esempi di abitazioni di Amman e Jerash</w:t>
      </w:r>
      <w:r>
        <w:rPr>
          <w:rFonts w:ascii="Times New Roman" w:eastAsia="Times New Roman" w:hAnsi="Times New Roman" w:cs="Times New Roman"/>
          <w:color w:val="000000"/>
        </w:rPr>
        <w:t xml:space="preserve">).  Ayla </w:t>
      </w:r>
      <w:r>
        <w:rPr>
          <w:rFonts w:ascii="Times New Roman" w:eastAsia="Times New Roman" w:hAnsi="Times New Roman" w:cs="Times New Roman"/>
        </w:rPr>
        <w:t xml:space="preserve">(secoli VIII-XI - </w:t>
      </w:r>
      <w:r>
        <w:rPr>
          <w:rFonts w:ascii="Times New Roman" w:eastAsia="Times New Roman" w:hAnsi="Times New Roman" w:cs="Times New Roman"/>
          <w:smallCaps/>
        </w:rPr>
        <w:t>Al</w:t>
      </w:r>
      <w:r>
        <w:rPr>
          <w:rFonts w:ascii="Times New Roman" w:eastAsia="Times New Roman" w:hAnsi="Times New Roman" w:cs="Times New Roman"/>
        </w:rPr>
        <w:t xml:space="preserve"> </w:t>
      </w:r>
      <w:r>
        <w:rPr>
          <w:rFonts w:ascii="Times New Roman" w:eastAsia="Times New Roman" w:hAnsi="Times New Roman" w:cs="Times New Roman"/>
          <w:smallCaps/>
        </w:rPr>
        <w:t xml:space="preserve">Shqour </w:t>
      </w:r>
      <w:r>
        <w:rPr>
          <w:rFonts w:ascii="Times New Roman" w:eastAsia="Times New Roman" w:hAnsi="Times New Roman" w:cs="Times New Roman"/>
        </w:rPr>
        <w:t>2019)</w:t>
      </w:r>
      <w:r>
        <w:rPr>
          <w:rFonts w:ascii="Times New Roman" w:eastAsia="Times New Roman" w:hAnsi="Times New Roman" w:cs="Times New Roman"/>
          <w:color w:val="000000"/>
        </w:rPr>
        <w:t xml:space="preserve"> è uno degli </w:t>
      </w:r>
      <w:r>
        <w:rPr>
          <w:rFonts w:ascii="Times New Roman" w:eastAsia="Times New Roman" w:hAnsi="Times New Roman" w:cs="Times New Roman"/>
          <w:i/>
          <w:color w:val="000000"/>
        </w:rPr>
        <w:t>amsar</w:t>
      </w:r>
      <w:r>
        <w:rPr>
          <w:rFonts w:ascii="Times New Roman" w:eastAsia="Times New Roman" w:hAnsi="Times New Roman" w:cs="Times New Roman"/>
          <w:color w:val="000000"/>
        </w:rPr>
        <w:t>, cioè la serie di città fondate subito</w:t>
      </w:r>
      <w:r>
        <w:rPr>
          <w:rFonts w:ascii="Times New Roman" w:eastAsia="Times New Roman" w:hAnsi="Times New Roman" w:cs="Times New Roman"/>
          <w:color w:val="000000"/>
        </w:rPr>
        <w:t xml:space="preserve"> dopo la conquista musulmana. In quanto tale, la pianta della città di Ayla fornisce un esempio di città di prima fondazione. Morfologicamente, richiama la struttura dei campi fortificati romani. Secondo le più recenti letture, come quelle sintetizzate da </w:t>
      </w:r>
      <w:r>
        <w:rPr>
          <w:rFonts w:ascii="Times New Roman" w:eastAsia="Times New Roman" w:hAnsi="Times New Roman" w:cs="Times New Roman"/>
          <w:color w:val="000000"/>
        </w:rPr>
        <w:t>Reem al Shqour, gli amsar furono inizialmente divisi in un numero di distretti abitativi (khitat), assegnati a ciascuna tribù. Al centro del misr c'è uno spazio (rahba, sahn) riservato al governo locale; all'interno si trova la moschea del venerdì (jama ')</w:t>
      </w:r>
      <w:r>
        <w:rPr>
          <w:rFonts w:ascii="Times New Roman" w:eastAsia="Times New Roman" w:hAnsi="Times New Roman" w:cs="Times New Roman"/>
          <w:color w:val="000000"/>
        </w:rPr>
        <w:t xml:space="preserve"> con, sul lato sud (qibla), la casa del governatore (Dar al-Imara). Ayla è l’unico caso noto di </w:t>
      </w:r>
      <w:r>
        <w:rPr>
          <w:rFonts w:ascii="Times New Roman" w:eastAsia="Times New Roman" w:hAnsi="Times New Roman" w:cs="Times New Roman"/>
          <w:i/>
          <w:color w:val="000000"/>
        </w:rPr>
        <w:t xml:space="preserve">misr </w:t>
      </w:r>
      <w:r>
        <w:rPr>
          <w:rFonts w:ascii="Times New Roman" w:eastAsia="Times New Roman" w:hAnsi="Times New Roman" w:cs="Times New Roman"/>
          <w:color w:val="000000"/>
        </w:rPr>
        <w:t>nell’area dell’attuale Giordania.</w:t>
      </w:r>
      <w:r>
        <w:rPr>
          <w:rFonts w:ascii="Times New Roman" w:eastAsia="Times New Roman" w:hAnsi="Times New Roman" w:cs="Times New Roman"/>
        </w:rPr>
        <w:t xml:space="preserve"> </w:t>
      </w:r>
      <w:r>
        <w:rPr>
          <w:rFonts w:ascii="Times New Roman" w:eastAsia="Times New Roman" w:hAnsi="Times New Roman" w:cs="Times New Roman"/>
          <w:color w:val="000000"/>
        </w:rPr>
        <w:t xml:space="preserve">L’idea delle unità abitative che si affacciano su un’area aperta, all’interno degli amsar può essere, morfologicamente e </w:t>
      </w:r>
      <w:r>
        <w:rPr>
          <w:rFonts w:ascii="Times New Roman" w:eastAsia="Times New Roman" w:hAnsi="Times New Roman" w:cs="Times New Roman"/>
          <w:color w:val="000000"/>
        </w:rPr>
        <w:t xml:space="preserve">funzionalmente, confrontata con gli esempi di alcuni Khan omayyadi (o caravanserragli) giordani, come </w:t>
      </w:r>
      <w:r>
        <w:rPr>
          <w:rFonts w:ascii="Times New Roman" w:eastAsia="Times New Roman" w:hAnsi="Times New Roman" w:cs="Times New Roman"/>
          <w:i/>
          <w:color w:val="000000"/>
        </w:rPr>
        <w:t xml:space="preserve">Qasr </w:t>
      </w:r>
      <w:r>
        <w:rPr>
          <w:rFonts w:ascii="Times New Roman" w:eastAsia="Times New Roman" w:hAnsi="Times New Roman" w:cs="Times New Roman"/>
          <w:color w:val="000000"/>
        </w:rPr>
        <w:t xml:space="preserve">Al-Qastal e Al-Karana, al cui interno si trovano diversi </w:t>
      </w:r>
      <w:r>
        <w:rPr>
          <w:rFonts w:ascii="Times New Roman" w:eastAsia="Times New Roman" w:hAnsi="Times New Roman" w:cs="Times New Roman"/>
          <w:i/>
          <w:color w:val="000000"/>
        </w:rPr>
        <w:t>buyut</w:t>
      </w:r>
      <w:r>
        <w:rPr>
          <w:rFonts w:ascii="Times New Roman" w:eastAsia="Times New Roman" w:hAnsi="Times New Roman" w:cs="Times New Roman"/>
          <w:color w:val="000000"/>
        </w:rPr>
        <w:t xml:space="preserve"> (plurale di bayt), cioè appartamenti/case, con accesso dalla corte centrale, simili a </w:t>
      </w:r>
      <w:r>
        <w:rPr>
          <w:rFonts w:ascii="Times New Roman" w:eastAsia="Times New Roman" w:hAnsi="Times New Roman" w:cs="Times New Roman"/>
          <w:color w:val="000000"/>
        </w:rPr>
        <w:t>quella scavata ad Amman.</w:t>
      </w:r>
      <w:r>
        <w:rPr>
          <w:rFonts w:ascii="Times New Roman" w:eastAsia="Times New Roman" w:hAnsi="Times New Roman" w:cs="Times New Roman"/>
        </w:rPr>
        <w:t xml:space="preserve"> </w:t>
      </w:r>
      <w:r>
        <w:rPr>
          <w:rFonts w:ascii="Times New Roman" w:eastAsia="Times New Roman" w:hAnsi="Times New Roman" w:cs="Times New Roman"/>
          <w:color w:val="000000"/>
        </w:rPr>
        <w:t xml:space="preserve">Hesban è uno dei siti multi-periodo più importanti e più investigati della Giordania e del Levante. Situato a sud-ovest di Amman, </w:t>
      </w:r>
      <w:r>
        <w:rPr>
          <w:rFonts w:ascii="Times New Roman" w:eastAsia="Times New Roman" w:hAnsi="Times New Roman" w:cs="Times New Roman"/>
        </w:rPr>
        <w:t>Hesban</w:t>
      </w:r>
      <w:r>
        <w:rPr>
          <w:rFonts w:ascii="Times New Roman" w:eastAsia="Times New Roman" w:hAnsi="Times New Roman" w:cs="Times New Roman"/>
          <w:color w:val="000000"/>
        </w:rPr>
        <w:t xml:space="preserve"> conosce  un importante sviluppo durante l'età del ferro, con un picco nel VII-VI secolo a.C. e</w:t>
      </w:r>
      <w:r>
        <w:rPr>
          <w:rFonts w:ascii="Times New Roman" w:eastAsia="Times New Roman" w:hAnsi="Times New Roman" w:cs="Times New Roman"/>
          <w:color w:val="000000"/>
        </w:rPr>
        <w:t xml:space="preserve"> una fase ellenistica e romana (II sec. a.C. - II d.C.). La sua posizione presso la via Nova Traiana e il collegamento est-ovest tra Giordania e Palestina favoriscono un’intensificazione dei processi urbani tra III e IV secolo d.C. attestati da edilizia pu</w:t>
      </w:r>
      <w:r>
        <w:rPr>
          <w:rFonts w:ascii="Times New Roman" w:eastAsia="Times New Roman" w:hAnsi="Times New Roman" w:cs="Times New Roman"/>
          <w:color w:val="000000"/>
        </w:rPr>
        <w:t xml:space="preserve">bblica. Nel V secolo, sebbene capitale di un distretto, Hesban sembra decadere di importanza, tuttavia l’inclusione nell’impero islamico del VII-VIII secolo avviene senza apparenti traumi. In età mamelucca, tra 1310 e 1356, Hesban è una </w:t>
      </w:r>
      <w:r>
        <w:rPr>
          <w:rFonts w:ascii="Times New Roman" w:eastAsia="Times New Roman" w:hAnsi="Times New Roman" w:cs="Times New Roman"/>
          <w:i/>
          <w:color w:val="000000"/>
        </w:rPr>
        <w:t>medina</w:t>
      </w:r>
      <w:r>
        <w:rPr>
          <w:rFonts w:ascii="Times New Roman" w:eastAsia="Times New Roman" w:hAnsi="Times New Roman" w:cs="Times New Roman"/>
          <w:color w:val="000000"/>
        </w:rPr>
        <w:t>,</w:t>
      </w:r>
      <w:r>
        <w:rPr>
          <w:rFonts w:ascii="Times New Roman" w:eastAsia="Times New Roman" w:hAnsi="Times New Roman" w:cs="Times New Roman"/>
          <w:i/>
          <w:color w:val="000000"/>
        </w:rPr>
        <w:t xml:space="preserve"> </w:t>
      </w:r>
      <w:r>
        <w:rPr>
          <w:rFonts w:ascii="Times New Roman" w:eastAsia="Times New Roman" w:hAnsi="Times New Roman" w:cs="Times New Roman"/>
          <w:color w:val="000000"/>
        </w:rPr>
        <w:t>capoluogo a</w:t>
      </w:r>
      <w:r>
        <w:rPr>
          <w:rFonts w:ascii="Times New Roman" w:eastAsia="Times New Roman" w:hAnsi="Times New Roman" w:cs="Times New Roman"/>
          <w:color w:val="000000"/>
        </w:rPr>
        <w:t>mministrativo della Balqa’.</w:t>
      </w:r>
      <w:r>
        <w:rPr>
          <w:rFonts w:ascii="Times New Roman" w:eastAsia="Times New Roman" w:hAnsi="Times New Roman" w:cs="Times New Roman"/>
        </w:rPr>
        <w:t xml:space="preserve"> </w:t>
      </w:r>
      <w:r>
        <w:rPr>
          <w:rFonts w:ascii="Times New Roman" w:eastAsia="Times New Roman" w:hAnsi="Times New Roman" w:cs="Times New Roman"/>
          <w:color w:val="000000"/>
        </w:rPr>
        <w:t>Le tradizioni architettoniche domestiche mostrano, qui come nel resto della regione, una forte continuità tra tardo antico e medioevo, con strutture nucleari a pianta rettangolare che, singolarmente o in piccoli clusters, si affacciano su cortili delimitat</w:t>
      </w:r>
      <w:r>
        <w:rPr>
          <w:rFonts w:ascii="Times New Roman" w:eastAsia="Times New Roman" w:hAnsi="Times New Roman" w:cs="Times New Roman"/>
          <w:color w:val="000000"/>
        </w:rPr>
        <w:t>i, in cui si trovano cisterne e spazi per la preparazione del cibo (Fig. 6). I mamelucchi riusano ampiamente le strutture più antiche, sia restaurandole, sia utilizzandole come cava di materiali lapidei. Gli scavi recenti (diretti da Oystein La Bianca e Be</w:t>
      </w:r>
      <w:r>
        <w:rPr>
          <w:rFonts w:ascii="Times New Roman" w:eastAsia="Times New Roman" w:hAnsi="Times New Roman" w:cs="Times New Roman"/>
          <w:color w:val="000000"/>
        </w:rPr>
        <w:t>thany Walker) mostrano un’organizzazione insediativa per quartieri o gruppi di abitazioni, tra loro distinti, che Nicolò Pini ha recentemente (2020) equiparato a quella delle coeve fasi insediative di Umm al-Jimal e di</w:t>
      </w:r>
      <w:r>
        <w:rPr>
          <w:rFonts w:ascii="Times New Roman" w:eastAsia="Times New Roman" w:hAnsi="Times New Roman" w:cs="Times New Roman"/>
        </w:rPr>
        <w:t xml:space="preserve"> </w:t>
      </w:r>
      <w:r>
        <w:rPr>
          <w:rFonts w:ascii="Times New Roman" w:eastAsia="Times New Roman" w:hAnsi="Times New Roman" w:cs="Times New Roman"/>
          <w:color w:val="000000"/>
        </w:rPr>
        <w:t>Mseikeh in cui, attraverso la distrib</w:t>
      </w:r>
      <w:r>
        <w:rPr>
          <w:rFonts w:ascii="Times New Roman" w:eastAsia="Times New Roman" w:hAnsi="Times New Roman" w:cs="Times New Roman"/>
          <w:color w:val="000000"/>
        </w:rPr>
        <w:t>uzione degli spazi privati (clusters di edifici che condividono un cortile), in relazione agli spazi pubblici o (nel caso di Mseikeh) semi pubblici (clausurae che danno accesso a più clusters di edifici), si intravede una struttura sociale segmentata in cu</w:t>
      </w:r>
      <w:r>
        <w:rPr>
          <w:rFonts w:ascii="Times New Roman" w:eastAsia="Times New Roman" w:hAnsi="Times New Roman" w:cs="Times New Roman"/>
          <w:color w:val="000000"/>
        </w:rPr>
        <w:t xml:space="preserve">i famiglie nucleari, famiglie estese e clan ‘producono’, per associazione o separazione, lo spazio residenziale, </w:t>
      </w:r>
      <w:r>
        <w:rPr>
          <w:rFonts w:ascii="Times New Roman" w:eastAsia="Times New Roman" w:hAnsi="Times New Roman" w:cs="Times New Roman"/>
        </w:rPr>
        <w:t>a</w:t>
      </w:r>
      <w:r>
        <w:rPr>
          <w:rFonts w:ascii="Times New Roman" w:eastAsia="Times New Roman" w:hAnsi="Times New Roman" w:cs="Times New Roman"/>
          <w:color w:val="000000"/>
        </w:rPr>
        <w:t xml:space="preserve">ttraverso una serie di filtri fisici e di </w:t>
      </w:r>
      <w:r>
        <w:rPr>
          <w:rFonts w:ascii="Times New Roman" w:eastAsia="Times New Roman" w:hAnsi="Times New Roman" w:cs="Times New Roman"/>
          <w:i/>
          <w:color w:val="000000"/>
        </w:rPr>
        <w:t>privacy</w:t>
      </w:r>
      <w:r>
        <w:rPr>
          <w:rFonts w:ascii="Times New Roman" w:eastAsia="Times New Roman" w:hAnsi="Times New Roman" w:cs="Times New Roman"/>
          <w:color w:val="000000"/>
        </w:rPr>
        <w:t xml:space="preserve"> progressiva</w:t>
      </w:r>
      <w:r>
        <w:rPr>
          <w:rFonts w:ascii="Times New Roman" w:eastAsia="Times New Roman" w:hAnsi="Times New Roman" w:cs="Times New Roman"/>
        </w:rPr>
        <w:t>. Nell’antica città di Petra, all’interno del sito fortificato di al-Habis, uno d</w:t>
      </w:r>
      <w:r>
        <w:rPr>
          <w:rFonts w:ascii="Times New Roman" w:eastAsia="Times New Roman" w:hAnsi="Times New Roman" w:cs="Times New Roman"/>
        </w:rPr>
        <w:t xml:space="preserve">ei castelli crociati petrani di XII secolo, sottoposto ad analisi di archeologia leggera da parte della Missione </w:t>
      </w:r>
      <w:r>
        <w:rPr>
          <w:rFonts w:ascii="Times New Roman" w:eastAsia="Times New Roman" w:hAnsi="Times New Roman" w:cs="Times New Roman"/>
          <w:i/>
        </w:rPr>
        <w:t>Petra Medievale</w:t>
      </w:r>
      <w:r>
        <w:rPr>
          <w:rFonts w:ascii="Times New Roman" w:eastAsia="Times New Roman" w:hAnsi="Times New Roman" w:cs="Times New Roman"/>
        </w:rPr>
        <w:t xml:space="preserve"> dell’Università di Firenze, è d</w:t>
      </w:r>
      <w:r>
        <w:rPr>
          <w:rFonts w:ascii="Times New Roman" w:eastAsia="Times New Roman" w:hAnsi="Times New Roman" w:cs="Times New Roman"/>
          <w:color w:val="000000"/>
        </w:rPr>
        <w:t>i particolare interesse rilevare come siano osservabili nei quart</w:t>
      </w:r>
      <w:r>
        <w:rPr>
          <w:rFonts w:ascii="Times New Roman" w:eastAsia="Times New Roman" w:hAnsi="Times New Roman" w:cs="Times New Roman"/>
        </w:rPr>
        <w:t>ieri residenziali</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 xml:space="preserve">clusters </w:t>
      </w:r>
      <w:r>
        <w:rPr>
          <w:rFonts w:ascii="Times New Roman" w:eastAsia="Times New Roman" w:hAnsi="Times New Roman" w:cs="Times New Roman"/>
          <w:color w:val="000000"/>
        </w:rPr>
        <w:t>di e</w:t>
      </w:r>
      <w:r>
        <w:rPr>
          <w:rFonts w:ascii="Times New Roman" w:eastAsia="Times New Roman" w:hAnsi="Times New Roman" w:cs="Times New Roman"/>
          <w:color w:val="000000"/>
        </w:rPr>
        <w:t>difici cellulari a pianta rettangolare, che condividono uno spazio pubblico dotato di cisterne (</w:t>
      </w:r>
      <w:r>
        <w:rPr>
          <w:rFonts w:ascii="Times New Roman" w:eastAsia="Times New Roman" w:hAnsi="Times New Roman" w:cs="Times New Roman"/>
        </w:rPr>
        <w:t>di nuovo, quindi, un’organizzazione dello spazio urbano di tradizione già bizantina-islamica</w:t>
      </w:r>
      <w:r>
        <w:rPr>
          <w:rFonts w:ascii="Times New Roman" w:eastAsia="Times New Roman" w:hAnsi="Times New Roman" w:cs="Times New Roman"/>
          <w:color w:val="000000"/>
        </w:rPr>
        <w:t>) (Fig. 7). Ricerche in corso da parte dell’Università di Firenze su</w:t>
      </w:r>
      <w:r>
        <w:rPr>
          <w:rFonts w:ascii="Times New Roman" w:eastAsia="Times New Roman" w:hAnsi="Times New Roman" w:cs="Times New Roman"/>
          <w:color w:val="000000"/>
        </w:rPr>
        <w:t xml:space="preserve">lla </w:t>
      </w:r>
      <w:r>
        <w:rPr>
          <w:rFonts w:ascii="Times New Roman" w:eastAsia="Times New Roman" w:hAnsi="Times New Roman" w:cs="Times New Roman"/>
          <w:i/>
          <w:color w:val="000000"/>
        </w:rPr>
        <w:t xml:space="preserve">medina </w:t>
      </w:r>
      <w:r>
        <w:rPr>
          <w:rFonts w:ascii="Times New Roman" w:eastAsia="Times New Roman" w:hAnsi="Times New Roman" w:cs="Times New Roman"/>
          <w:color w:val="000000"/>
        </w:rPr>
        <w:t xml:space="preserve">ayyubide-mamelucca di Jaya, collocata ai piedi del </w:t>
      </w:r>
      <w:r>
        <w:rPr>
          <w:rFonts w:ascii="Times New Roman" w:eastAsia="Times New Roman" w:hAnsi="Times New Roman" w:cs="Times New Roman"/>
          <w:i/>
          <w:color w:val="000000"/>
        </w:rPr>
        <w:t xml:space="preserve">castrum </w:t>
      </w:r>
      <w:r>
        <w:rPr>
          <w:rFonts w:ascii="Times New Roman" w:eastAsia="Times New Roman" w:hAnsi="Times New Roman" w:cs="Times New Roman"/>
          <w:color w:val="000000"/>
        </w:rPr>
        <w:t>crociato di Shawbak/</w:t>
      </w:r>
      <w:r>
        <w:rPr>
          <w:rFonts w:ascii="Times New Roman" w:eastAsia="Times New Roman" w:hAnsi="Times New Roman" w:cs="Times New Roman"/>
          <w:i/>
          <w:color w:val="000000"/>
        </w:rPr>
        <w:t>Mons-Regalis</w:t>
      </w:r>
      <w:r>
        <w:rPr>
          <w:rFonts w:ascii="Times New Roman" w:eastAsia="Times New Roman" w:hAnsi="Times New Roman" w:cs="Times New Roman"/>
          <w:color w:val="000000"/>
        </w:rPr>
        <w:t>,</w:t>
      </w:r>
      <w:r>
        <w:rPr>
          <w:rFonts w:ascii="Times New Roman" w:eastAsia="Times New Roman" w:hAnsi="Times New Roman" w:cs="Times New Roman"/>
          <w:b/>
          <w:color w:val="000000"/>
        </w:rPr>
        <w:t xml:space="preserve"> </w:t>
      </w:r>
      <w:r>
        <w:rPr>
          <w:rFonts w:ascii="Times New Roman" w:eastAsia="Times New Roman" w:hAnsi="Times New Roman" w:cs="Times New Roman"/>
          <w:color w:val="000000"/>
        </w:rPr>
        <w:t>hanno in</w:t>
      </w:r>
      <w:r>
        <w:rPr>
          <w:rFonts w:ascii="Times New Roman" w:eastAsia="Times New Roman" w:hAnsi="Times New Roman" w:cs="Times New Roman"/>
        </w:rPr>
        <w:t xml:space="preserve">fine </w:t>
      </w:r>
      <w:r>
        <w:rPr>
          <w:rFonts w:ascii="Times New Roman" w:eastAsia="Times New Roman" w:hAnsi="Times New Roman" w:cs="Times New Roman"/>
          <w:color w:val="000000"/>
        </w:rPr>
        <w:t>recentemente portato alla luce una porzione di dimora aristocratica tardo duecentesca, di un tipo finora non attestato in Giordania, caratt</w:t>
      </w:r>
      <w:r>
        <w:rPr>
          <w:rFonts w:ascii="Times New Roman" w:eastAsia="Times New Roman" w:hAnsi="Times New Roman" w:cs="Times New Roman"/>
          <w:color w:val="000000"/>
        </w:rPr>
        <w:t>erizzata da un lussuoso cortile con fontana e decorazioni pavimentali in mosaico (Vannini 2020) (Fig. 8).</w:t>
      </w:r>
      <w:r>
        <w:rPr>
          <w:rFonts w:ascii="Times New Roman" w:eastAsia="Times New Roman" w:hAnsi="Times New Roman" w:cs="Times New Roman"/>
          <w:b/>
          <w:color w:val="000000"/>
        </w:rPr>
        <w:t xml:space="preserve"> </w:t>
      </w:r>
      <w:r>
        <w:rPr>
          <w:rFonts w:ascii="Times New Roman" w:eastAsia="Times New Roman" w:hAnsi="Times New Roman" w:cs="Times New Roman"/>
          <w:b/>
          <w:color w:val="000000"/>
        </w:rPr>
        <w:tab/>
      </w:r>
      <w:r>
        <w:rPr>
          <w:rFonts w:ascii="Times New Roman" w:eastAsia="Times New Roman" w:hAnsi="Times New Roman" w:cs="Times New Roman"/>
          <w:b/>
          <w:color w:val="000000"/>
        </w:rPr>
        <w:tab/>
      </w:r>
      <w:r>
        <w:rPr>
          <w:rFonts w:ascii="Times New Roman" w:eastAsia="Times New Roman" w:hAnsi="Times New Roman" w:cs="Times New Roman"/>
          <w:b/>
          <w:color w:val="000000"/>
        </w:rPr>
        <w:tab/>
      </w:r>
    </w:p>
    <w:p w14:paraId="00000016" w14:textId="77777777" w:rsidR="0005362F" w:rsidRDefault="00B515AC">
      <w:pPr>
        <w:spacing w:before="240" w:after="240"/>
        <w:jc w:val="both"/>
        <w:rPr>
          <w:rFonts w:ascii="Times New Roman" w:eastAsia="Times New Roman" w:hAnsi="Times New Roman" w:cs="Times New Roman"/>
          <w:i/>
        </w:rPr>
      </w:pPr>
      <w:r>
        <w:rPr>
          <w:rFonts w:ascii="Times New Roman" w:eastAsia="Times New Roman" w:hAnsi="Times New Roman" w:cs="Times New Roman"/>
          <w:i/>
        </w:rPr>
        <w:t xml:space="preserve">3. Il caso-studio di </w:t>
      </w:r>
      <w:r>
        <w:rPr>
          <w:rFonts w:ascii="Times New Roman" w:eastAsia="Times New Roman" w:hAnsi="Times New Roman" w:cs="Times New Roman"/>
          <w:i/>
          <w:color w:val="000000"/>
        </w:rPr>
        <w:t>Fustat</w:t>
      </w:r>
      <w:r>
        <w:rPr>
          <w:rFonts w:ascii="Times New Roman" w:eastAsia="Times New Roman" w:hAnsi="Times New Roman" w:cs="Times New Roman"/>
          <w:i/>
        </w:rPr>
        <w:t xml:space="preserve"> (</w:t>
      </w:r>
      <w:r>
        <w:rPr>
          <w:rFonts w:ascii="Times New Roman" w:eastAsia="Times New Roman" w:hAnsi="Times New Roman" w:cs="Times New Roman"/>
          <w:i/>
          <w:color w:val="000000"/>
        </w:rPr>
        <w:t>Cairo)</w:t>
      </w:r>
    </w:p>
    <w:p w14:paraId="00000017" w14:textId="77777777" w:rsidR="0005362F" w:rsidRDefault="00B515AC">
      <w:pPr>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L'archeologia dell'Egitto islamico è stata - e continua ad essere - dominata da testimonianze provenienti dall'area del Cairo. Di particolare rilievo sono state le indagini su larga scala della città di al-Fustat iniziate negli anni '60 e proseguite negli </w:t>
      </w:r>
      <w:r>
        <w:rPr>
          <w:rFonts w:ascii="Times New Roman" w:eastAsia="Times New Roman" w:hAnsi="Times New Roman" w:cs="Times New Roman"/>
          <w:color w:val="000000"/>
        </w:rPr>
        <w:t>anni '80 sotto la direzione di George Scanlon e Władysław Kubiak (</w:t>
      </w:r>
      <w:r>
        <w:rPr>
          <w:rFonts w:ascii="Times New Roman" w:eastAsia="Times New Roman" w:hAnsi="Times New Roman" w:cs="Times New Roman"/>
          <w:smallCaps/>
        </w:rPr>
        <w:t>Kubiak</w:t>
      </w:r>
      <w:r>
        <w:rPr>
          <w:rFonts w:ascii="Times New Roman" w:eastAsia="Times New Roman" w:hAnsi="Times New Roman" w:cs="Times New Roman"/>
        </w:rPr>
        <w:t xml:space="preserve"> 1987; </w:t>
      </w:r>
      <w:r>
        <w:rPr>
          <w:rFonts w:ascii="Times New Roman" w:eastAsia="Times New Roman" w:hAnsi="Times New Roman" w:cs="Times New Roman"/>
          <w:smallCaps/>
        </w:rPr>
        <w:t>Kubiak</w:t>
      </w:r>
      <w:r>
        <w:rPr>
          <w:rFonts w:ascii="Times New Roman" w:eastAsia="Times New Roman" w:hAnsi="Times New Roman" w:cs="Times New Roman"/>
        </w:rPr>
        <w:t xml:space="preserve"> e </w:t>
      </w:r>
      <w:r>
        <w:rPr>
          <w:rFonts w:ascii="Times New Roman" w:eastAsia="Times New Roman" w:hAnsi="Times New Roman" w:cs="Times New Roman"/>
          <w:smallCaps/>
        </w:rPr>
        <w:t>Scanlon</w:t>
      </w:r>
      <w:r>
        <w:rPr>
          <w:rFonts w:ascii="Times New Roman" w:eastAsia="Times New Roman" w:hAnsi="Times New Roman" w:cs="Times New Roman"/>
        </w:rPr>
        <w:t xml:space="preserve"> 1989; </w:t>
      </w:r>
      <w:r>
        <w:rPr>
          <w:rFonts w:ascii="Times New Roman" w:eastAsia="Times New Roman" w:hAnsi="Times New Roman" w:cs="Times New Roman"/>
          <w:smallCaps/>
        </w:rPr>
        <w:t>Pradines</w:t>
      </w:r>
      <w:r>
        <w:rPr>
          <w:rFonts w:ascii="Times New Roman" w:eastAsia="Times New Roman" w:hAnsi="Times New Roman" w:cs="Times New Roman"/>
        </w:rPr>
        <w:t xml:space="preserve"> </w:t>
      </w:r>
      <w:r>
        <w:rPr>
          <w:rFonts w:ascii="Times New Roman" w:eastAsia="Times New Roman" w:hAnsi="Times New Roman" w:cs="Times New Roman"/>
          <w:i/>
        </w:rPr>
        <w:t>et al.</w:t>
      </w:r>
      <w:r>
        <w:rPr>
          <w:rFonts w:ascii="Times New Roman" w:eastAsia="Times New Roman" w:hAnsi="Times New Roman" w:cs="Times New Roman"/>
        </w:rPr>
        <w:t xml:space="preserve"> 2009</w:t>
      </w:r>
      <w:r>
        <w:rPr>
          <w:rFonts w:ascii="Times New Roman" w:eastAsia="Times New Roman" w:hAnsi="Times New Roman" w:cs="Times New Roman"/>
          <w:color w:val="000000"/>
        </w:rPr>
        <w:t>)</w:t>
      </w:r>
      <w:r>
        <w:rPr>
          <w:rFonts w:ascii="Times New Roman" w:eastAsia="Times New Roman" w:hAnsi="Times New Roman" w:cs="Times New Roman"/>
        </w:rPr>
        <w:t>, a cui hanno fatto seguito le ricerche condotte dall’IFAO, solo parzialmente edite (</w:t>
      </w:r>
      <w:r>
        <w:rPr>
          <w:rFonts w:ascii="Times New Roman" w:eastAsia="Times New Roman" w:hAnsi="Times New Roman" w:cs="Times New Roman"/>
          <w:smallCaps/>
        </w:rPr>
        <w:t>Gayraud</w:t>
      </w:r>
      <w:r>
        <w:rPr>
          <w:rFonts w:ascii="Times New Roman" w:eastAsia="Times New Roman" w:hAnsi="Times New Roman" w:cs="Times New Roman"/>
          <w:color w:val="000000"/>
        </w:rPr>
        <w:t xml:space="preserve"> 1998; </w:t>
      </w:r>
      <w:r>
        <w:rPr>
          <w:rFonts w:ascii="Times New Roman" w:eastAsia="Times New Roman" w:hAnsi="Times New Roman" w:cs="Times New Roman"/>
          <w:smallCaps/>
        </w:rPr>
        <w:t>Gayraud</w:t>
      </w:r>
      <w:r>
        <w:rPr>
          <w:rFonts w:ascii="Times New Roman" w:eastAsia="Times New Roman" w:hAnsi="Times New Roman" w:cs="Times New Roman"/>
          <w:color w:val="212529"/>
          <w:shd w:val="clear" w:color="auto" w:fill="FBFBFB"/>
        </w:rPr>
        <w:t xml:space="preserve">, </w:t>
      </w:r>
      <w:r>
        <w:rPr>
          <w:rFonts w:ascii="Times New Roman" w:eastAsia="Times New Roman" w:hAnsi="Times New Roman" w:cs="Times New Roman"/>
          <w:smallCaps/>
        </w:rPr>
        <w:t>Vallauri</w:t>
      </w:r>
      <w:r>
        <w:rPr>
          <w:rFonts w:ascii="Times New Roman" w:eastAsia="Times New Roman" w:hAnsi="Times New Roman" w:cs="Times New Roman"/>
          <w:color w:val="212529"/>
          <w:shd w:val="clear" w:color="auto" w:fill="FBFBFB"/>
        </w:rPr>
        <w:t xml:space="preserve"> 2017</w:t>
      </w:r>
      <w:r>
        <w:rPr>
          <w:rFonts w:ascii="Times New Roman" w:eastAsia="Times New Roman" w:hAnsi="Times New Roman" w:cs="Times New Roman"/>
          <w:color w:val="000000"/>
        </w:rPr>
        <w:t>). </w:t>
      </w:r>
      <w:r>
        <w:rPr>
          <w:rFonts w:ascii="Times New Roman" w:eastAsia="Times New Roman" w:hAnsi="Times New Roman" w:cs="Times New Roman"/>
        </w:rPr>
        <w:t xml:space="preserve">Al-Fustat è un importante esempio di miṣr islamico (pl. Amṣār: una città di guarnigione in cui si pagavano gli stipendi e si riscuotevano le tasse), per il quale è disponibile una notevole profondità di dati spaziali. Archeologicamente,  presenta resti di </w:t>
      </w:r>
      <w:r>
        <w:rPr>
          <w:rFonts w:ascii="Times New Roman" w:eastAsia="Times New Roman" w:hAnsi="Times New Roman" w:cs="Times New Roman"/>
        </w:rPr>
        <w:t xml:space="preserve">case, strade, sistemi di drenaggio pubblico e domestico, aree industriali e reperti associati, oltre che </w:t>
      </w:r>
      <w:r>
        <w:rPr>
          <w:rFonts w:ascii="Times New Roman" w:eastAsia="Times New Roman" w:hAnsi="Times New Roman" w:cs="Times New Roman"/>
          <w:color w:val="000000"/>
        </w:rPr>
        <w:t xml:space="preserve">ricco di fonti </w:t>
      </w:r>
      <w:r>
        <w:rPr>
          <w:rFonts w:ascii="Times New Roman" w:eastAsia="Times New Roman" w:hAnsi="Times New Roman" w:cs="Times New Roman"/>
        </w:rPr>
        <w:t>scritte</w:t>
      </w:r>
      <w:r>
        <w:rPr>
          <w:rFonts w:ascii="Times New Roman" w:eastAsia="Times New Roman" w:hAnsi="Times New Roman" w:cs="Times New Roman"/>
          <w:color w:val="000000"/>
        </w:rPr>
        <w:t>, probabilmente l</w:t>
      </w:r>
      <w:r>
        <w:rPr>
          <w:rFonts w:ascii="Times New Roman" w:eastAsia="Times New Roman" w:hAnsi="Times New Roman" w:cs="Times New Roman"/>
        </w:rPr>
        <w:t>e</w:t>
      </w:r>
      <w:r>
        <w:rPr>
          <w:rFonts w:ascii="Times New Roman" w:eastAsia="Times New Roman" w:hAnsi="Times New Roman" w:cs="Times New Roman"/>
          <w:color w:val="000000"/>
        </w:rPr>
        <w:t xml:space="preserve"> più important</w:t>
      </w:r>
      <w:r>
        <w:rPr>
          <w:rFonts w:ascii="Times New Roman" w:eastAsia="Times New Roman" w:hAnsi="Times New Roman" w:cs="Times New Roman"/>
        </w:rPr>
        <w:t>i</w:t>
      </w:r>
      <w:r>
        <w:rPr>
          <w:rFonts w:ascii="Times New Roman" w:eastAsia="Times New Roman" w:hAnsi="Times New Roman" w:cs="Times New Roman"/>
          <w:color w:val="000000"/>
        </w:rPr>
        <w:t xml:space="preserve"> delle qual</w:t>
      </w:r>
      <w:r>
        <w:rPr>
          <w:rFonts w:ascii="Times New Roman" w:eastAsia="Times New Roman" w:hAnsi="Times New Roman" w:cs="Times New Roman"/>
        </w:rPr>
        <w:t>i</w:t>
      </w:r>
      <w:r>
        <w:rPr>
          <w:rFonts w:ascii="Times New Roman" w:eastAsia="Times New Roman" w:hAnsi="Times New Roman" w:cs="Times New Roman"/>
          <w:color w:val="000000"/>
        </w:rPr>
        <w:t xml:space="preserve"> </w:t>
      </w:r>
      <w:r>
        <w:rPr>
          <w:rFonts w:ascii="Times New Roman" w:eastAsia="Times New Roman" w:hAnsi="Times New Roman" w:cs="Times New Roman"/>
        </w:rPr>
        <w:t>sono</w:t>
      </w:r>
      <w:r>
        <w:rPr>
          <w:rFonts w:ascii="Times New Roman" w:eastAsia="Times New Roman" w:hAnsi="Times New Roman" w:cs="Times New Roman"/>
          <w:color w:val="000000"/>
        </w:rPr>
        <w:t xml:space="preserve"> l'archivio </w:t>
      </w:r>
      <w:r>
        <w:rPr>
          <w:rFonts w:ascii="Times New Roman" w:eastAsia="Times New Roman" w:hAnsi="Times New Roman" w:cs="Times New Roman"/>
        </w:rPr>
        <w:t>della G</w:t>
      </w:r>
      <w:r>
        <w:rPr>
          <w:rFonts w:ascii="Times New Roman" w:eastAsia="Times New Roman" w:hAnsi="Times New Roman" w:cs="Times New Roman"/>
          <w:color w:val="000000"/>
        </w:rPr>
        <w:t xml:space="preserve">eniza di </w:t>
      </w:r>
      <w:r>
        <w:rPr>
          <w:rFonts w:ascii="Times New Roman" w:eastAsia="Times New Roman" w:hAnsi="Times New Roman" w:cs="Times New Roman"/>
        </w:rPr>
        <w:t>‘</w:t>
      </w:r>
      <w:r>
        <w:rPr>
          <w:rFonts w:ascii="Times New Roman" w:eastAsia="Times New Roman" w:hAnsi="Times New Roman" w:cs="Times New Roman"/>
          <w:color w:val="000000"/>
        </w:rPr>
        <w:t>Cairo vecchia</w:t>
      </w:r>
      <w:r>
        <w:rPr>
          <w:rFonts w:ascii="Times New Roman" w:eastAsia="Times New Roman" w:hAnsi="Times New Roman" w:cs="Times New Roman"/>
        </w:rPr>
        <w:t>’</w:t>
      </w:r>
      <w:r>
        <w:rPr>
          <w:rFonts w:ascii="Times New Roman" w:eastAsia="Times New Roman" w:hAnsi="Times New Roman" w:cs="Times New Roman"/>
          <w:color w:val="000000"/>
        </w:rPr>
        <w:t>, che include molti documenti rileva</w:t>
      </w:r>
      <w:r>
        <w:rPr>
          <w:rFonts w:ascii="Times New Roman" w:eastAsia="Times New Roman" w:hAnsi="Times New Roman" w:cs="Times New Roman"/>
          <w:color w:val="000000"/>
        </w:rPr>
        <w:t>nti sia per la struttura della città</w:t>
      </w:r>
      <w:r>
        <w:rPr>
          <w:rFonts w:ascii="Times New Roman" w:eastAsia="Times New Roman" w:hAnsi="Times New Roman" w:cs="Times New Roman"/>
        </w:rPr>
        <w:t xml:space="preserve"> che per proporre alcune letture sulla realtà urbana.</w:t>
      </w:r>
    </w:p>
    <w:p w14:paraId="00000018" w14:textId="77777777" w:rsidR="0005362F" w:rsidRDefault="00B515AC">
      <w:pPr>
        <w:jc w:val="both"/>
        <w:rPr>
          <w:rFonts w:ascii="Times New Roman" w:eastAsia="Times New Roman" w:hAnsi="Times New Roman" w:cs="Times New Roman"/>
        </w:rPr>
      </w:pPr>
      <w:r>
        <w:rPr>
          <w:rFonts w:ascii="Times New Roman" w:eastAsia="Times New Roman" w:hAnsi="Times New Roman" w:cs="Times New Roman"/>
        </w:rPr>
        <w:t>A</w:t>
      </w:r>
      <w:r>
        <w:rPr>
          <w:rFonts w:ascii="Times New Roman" w:eastAsia="Times New Roman" w:hAnsi="Times New Roman" w:cs="Times New Roman"/>
          <w:color w:val="000000"/>
        </w:rPr>
        <w:t>l-Fustat si mostra un insediamento eccezionale sin dalla sua precoce fondazione nel 642 d.C.</w:t>
      </w:r>
      <w:r>
        <w:rPr>
          <w:rFonts w:ascii="Times New Roman" w:eastAsia="Times New Roman" w:hAnsi="Times New Roman" w:cs="Times New Roman"/>
        </w:rPr>
        <w:t xml:space="preserve">;  Cairo, in cui sarà inglobata, ne conterà 500.000 nel XI e </w:t>
      </w:r>
      <w:r>
        <w:rPr>
          <w:rFonts w:ascii="Times New Roman" w:eastAsia="Times New Roman" w:hAnsi="Times New Roman" w:cs="Times New Roman"/>
          <w:color w:val="000000"/>
        </w:rPr>
        <w:t xml:space="preserve">raggiungerà </w:t>
      </w:r>
      <w:r>
        <w:rPr>
          <w:rFonts w:ascii="Times New Roman" w:eastAsia="Times New Roman" w:hAnsi="Times New Roman" w:cs="Times New Roman"/>
          <w:color w:val="000000"/>
        </w:rPr>
        <w:t>i 200.000 abitanti nel XII secolo</w:t>
      </w:r>
      <w:r>
        <w:rPr>
          <w:rFonts w:ascii="Times New Roman" w:eastAsia="Times New Roman" w:hAnsi="Times New Roman" w:cs="Times New Roman"/>
        </w:rPr>
        <w:t>.</w:t>
      </w:r>
      <w:r>
        <w:rPr>
          <w:rFonts w:ascii="Times New Roman" w:eastAsia="Times New Roman" w:hAnsi="Times New Roman" w:cs="Times New Roman"/>
          <w:color w:val="000000"/>
        </w:rPr>
        <w:t xml:space="preserve"> </w:t>
      </w:r>
      <w:r>
        <w:rPr>
          <w:rFonts w:ascii="Times New Roman" w:eastAsia="Times New Roman" w:hAnsi="Times New Roman" w:cs="Times New Roman"/>
        </w:rPr>
        <w:t>G</w:t>
      </w:r>
      <w:r>
        <w:rPr>
          <w:rFonts w:ascii="Times New Roman" w:eastAsia="Times New Roman" w:hAnsi="Times New Roman" w:cs="Times New Roman"/>
          <w:color w:val="000000"/>
        </w:rPr>
        <w:t>ran parte della sua area era costruit</w:t>
      </w:r>
      <w:r>
        <w:rPr>
          <w:rFonts w:ascii="Times New Roman" w:eastAsia="Times New Roman" w:hAnsi="Times New Roman" w:cs="Times New Roman"/>
        </w:rPr>
        <w:t>a</w:t>
      </w:r>
      <w:r>
        <w:rPr>
          <w:rFonts w:ascii="Times New Roman" w:eastAsia="Times New Roman" w:hAnsi="Times New Roman" w:cs="Times New Roman"/>
          <w:color w:val="000000"/>
        </w:rPr>
        <w:t xml:space="preserve"> su un terreno precedentemente non occupato, e la sua pianificazione e crescita sono un momento fondamentale per lo studio di una città fondata in periodo islamico iniziale (</w:t>
      </w:r>
      <w:r>
        <w:rPr>
          <w:rFonts w:ascii="Times New Roman" w:eastAsia="Times New Roman" w:hAnsi="Times New Roman" w:cs="Times New Roman"/>
          <w:smallCaps/>
        </w:rPr>
        <w:t>Sheehan</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2010: 79–96; </w:t>
      </w:r>
      <w:r>
        <w:rPr>
          <w:rFonts w:ascii="Times New Roman" w:eastAsia="Times New Roman" w:hAnsi="Times New Roman" w:cs="Times New Roman"/>
          <w:smallCaps/>
        </w:rPr>
        <w:t>Kubiak</w:t>
      </w:r>
      <w:r>
        <w:rPr>
          <w:rFonts w:ascii="Times New Roman" w:eastAsia="Times New Roman" w:hAnsi="Times New Roman" w:cs="Times New Roman"/>
          <w:color w:val="000000"/>
        </w:rPr>
        <w:t xml:space="preserve"> 1987).</w:t>
      </w:r>
      <w:r>
        <w:rPr>
          <w:rFonts w:ascii="Times New Roman" w:eastAsia="Times New Roman" w:hAnsi="Times New Roman" w:cs="Times New Roman"/>
        </w:rPr>
        <w:t xml:space="preserve"> Gli scavi hanno fornito uno dei più vasti </w:t>
      </w:r>
      <w:r>
        <w:rPr>
          <w:rFonts w:ascii="Times New Roman" w:eastAsia="Times New Roman" w:hAnsi="Times New Roman" w:cs="Times New Roman"/>
          <w:i/>
        </w:rPr>
        <w:t xml:space="preserve">corpora </w:t>
      </w:r>
      <w:r>
        <w:rPr>
          <w:rFonts w:ascii="Times New Roman" w:eastAsia="Times New Roman" w:hAnsi="Times New Roman" w:cs="Times New Roman"/>
        </w:rPr>
        <w:t>di architettura domestica del primo periodo islamico.</w:t>
      </w:r>
    </w:p>
    <w:p w14:paraId="00000019" w14:textId="77777777" w:rsidR="0005362F" w:rsidRDefault="00B515AC">
      <w:pPr>
        <w:jc w:val="both"/>
        <w:rPr>
          <w:rFonts w:ascii="Times New Roman" w:eastAsia="Times New Roman" w:hAnsi="Times New Roman" w:cs="Times New Roman"/>
        </w:rPr>
      </w:pPr>
      <w:r>
        <w:rPr>
          <w:rFonts w:ascii="Times New Roman" w:eastAsia="Times New Roman" w:hAnsi="Times New Roman" w:cs="Times New Roman"/>
        </w:rPr>
        <w:t>Per quanto riguarda la morfologia e la disposizione dei nuclei abitativi, sono presenti in gran numero edifici, prevalentemen</w:t>
      </w:r>
      <w:r>
        <w:rPr>
          <w:rFonts w:ascii="Times New Roman" w:eastAsia="Times New Roman" w:hAnsi="Times New Roman" w:cs="Times New Roman"/>
        </w:rPr>
        <w:t xml:space="preserve">te realizzati in mattoni crudi, </w:t>
      </w:r>
      <w:r>
        <w:rPr>
          <w:rFonts w:ascii="Times New Roman" w:eastAsia="Times New Roman" w:hAnsi="Times New Roman" w:cs="Times New Roman"/>
          <w:color w:val="000000"/>
        </w:rPr>
        <w:t>formati da più stanze,</w:t>
      </w:r>
      <w:r>
        <w:rPr>
          <w:rFonts w:ascii="Times New Roman" w:eastAsia="Times New Roman" w:hAnsi="Times New Roman" w:cs="Times New Roman"/>
        </w:rPr>
        <w:t xml:space="preserve"> che si </w:t>
      </w:r>
      <w:r>
        <w:rPr>
          <w:rFonts w:ascii="Times New Roman" w:eastAsia="Times New Roman" w:hAnsi="Times New Roman" w:cs="Times New Roman"/>
          <w:color w:val="000000"/>
        </w:rPr>
        <w:t>affaccia</w:t>
      </w:r>
      <w:r>
        <w:rPr>
          <w:rFonts w:ascii="Times New Roman" w:eastAsia="Times New Roman" w:hAnsi="Times New Roman" w:cs="Times New Roman"/>
        </w:rPr>
        <w:t xml:space="preserve">no </w:t>
      </w:r>
      <w:r>
        <w:rPr>
          <w:rFonts w:ascii="Times New Roman" w:eastAsia="Times New Roman" w:hAnsi="Times New Roman" w:cs="Times New Roman"/>
          <w:color w:val="000000"/>
        </w:rPr>
        <w:t>su una corte, sempre provvista di cistern</w:t>
      </w:r>
      <w:r>
        <w:rPr>
          <w:rFonts w:ascii="Times New Roman" w:eastAsia="Times New Roman" w:hAnsi="Times New Roman" w:cs="Times New Roman"/>
        </w:rPr>
        <w:t>e</w:t>
      </w:r>
      <w:r>
        <w:rPr>
          <w:rFonts w:ascii="Times New Roman" w:eastAsia="Times New Roman" w:hAnsi="Times New Roman" w:cs="Times New Roman"/>
          <w:color w:val="000000"/>
        </w:rPr>
        <w:t>. </w:t>
      </w:r>
      <w:r>
        <w:rPr>
          <w:rFonts w:ascii="Times New Roman" w:eastAsia="Times New Roman" w:hAnsi="Times New Roman" w:cs="Times New Roman"/>
        </w:rPr>
        <w:t>Recentemente è stato prodotto uno studio che, partendo dalle tipologizzazioni, condotte essenzialmente su base planimentrico-morfologica, h</w:t>
      </w:r>
      <w:r>
        <w:rPr>
          <w:rFonts w:ascii="Times New Roman" w:eastAsia="Times New Roman" w:hAnsi="Times New Roman" w:cs="Times New Roman"/>
        </w:rPr>
        <w:t>a cercato di ipotizzare le motivazioni socio-funzionali sottese alla realizzazione della cosiddetta “casa di Fustat” (</w:t>
      </w:r>
      <w:r>
        <w:rPr>
          <w:rFonts w:ascii="Times New Roman" w:eastAsia="Times New Roman" w:hAnsi="Times New Roman" w:cs="Times New Roman"/>
          <w:smallCaps/>
        </w:rPr>
        <w:t>Harrison</w:t>
      </w:r>
      <w:r>
        <w:rPr>
          <w:rFonts w:ascii="Times New Roman" w:eastAsia="Times New Roman" w:hAnsi="Times New Roman" w:cs="Times New Roman"/>
        </w:rPr>
        <w:t xml:space="preserve"> 2014). La «casa di Fusṭāṭ» è disposta intorno a uno o più cortili aperti con una suddivisione degli ambienti in cui quello centra</w:t>
      </w:r>
      <w:r>
        <w:rPr>
          <w:rFonts w:ascii="Times New Roman" w:eastAsia="Times New Roman" w:hAnsi="Times New Roman" w:cs="Times New Roman"/>
        </w:rPr>
        <w:t>le si apre su un androne trasversale o porticato con due piloni che formano un ingresso tripartito, nonché ambienti minori o alcove posti centralmente sui restanti lati del cortile (</w:t>
      </w:r>
      <w:r>
        <w:rPr>
          <w:rFonts w:ascii="Times New Roman" w:eastAsia="Times New Roman" w:hAnsi="Times New Roman" w:cs="Times New Roman"/>
          <w:smallCaps/>
        </w:rPr>
        <w:t>Harrison</w:t>
      </w:r>
      <w:r>
        <w:rPr>
          <w:rFonts w:ascii="Times New Roman" w:eastAsia="Times New Roman" w:hAnsi="Times New Roman" w:cs="Times New Roman"/>
        </w:rPr>
        <w:t xml:space="preserve"> 2014, p. 938). Questa disposizione tripartita delle stanze con la</w:t>
      </w:r>
      <w:r>
        <w:rPr>
          <w:rFonts w:ascii="Times New Roman" w:eastAsia="Times New Roman" w:hAnsi="Times New Roman" w:cs="Times New Roman"/>
        </w:rPr>
        <w:t xml:space="preserve"> sua forma a T centrale è presente, come sottolinea Harrison, in altre architetture palaziali e domestiche nel Vicino Oriente, sia prima che dopo Fustat, come, ad esempio, nei siti Abbasidi di Sāmarrāʾ e Ukhaiḍir, oltre che nelle abitazioni tradizionali ir</w:t>
      </w:r>
      <w:r>
        <w:rPr>
          <w:rFonts w:ascii="Times New Roman" w:eastAsia="Times New Roman" w:hAnsi="Times New Roman" w:cs="Times New Roman"/>
        </w:rPr>
        <w:t>achene fino al 19esimo secolo. Le motivazioni del perdurare di questa tipologia sono a tutt’oggi oggetto di ricerche.</w:t>
      </w:r>
    </w:p>
    <w:p w14:paraId="0000001A" w14:textId="77777777" w:rsidR="0005362F" w:rsidRDefault="0005362F">
      <w:pPr>
        <w:jc w:val="both"/>
        <w:rPr>
          <w:rFonts w:ascii="Times New Roman" w:eastAsia="Times New Roman" w:hAnsi="Times New Roman" w:cs="Times New Roman"/>
        </w:rPr>
      </w:pPr>
    </w:p>
    <w:p w14:paraId="0000001B" w14:textId="77777777" w:rsidR="0005362F" w:rsidRDefault="00B515AC">
      <w:pPr>
        <w:jc w:val="both"/>
        <w:rPr>
          <w:rFonts w:ascii="Times New Roman" w:eastAsia="Times New Roman" w:hAnsi="Times New Roman" w:cs="Times New Roman"/>
        </w:rPr>
      </w:pPr>
      <w:r>
        <w:rPr>
          <w:rFonts w:ascii="Times New Roman" w:eastAsia="Times New Roman" w:hAnsi="Times New Roman" w:cs="Times New Roman"/>
        </w:rPr>
        <w:t>[E. P]</w:t>
      </w:r>
    </w:p>
    <w:p w14:paraId="0000001C" w14:textId="77777777" w:rsidR="0005362F" w:rsidRDefault="0005362F">
      <w:pPr>
        <w:jc w:val="both"/>
        <w:rPr>
          <w:rFonts w:ascii="Times New Roman" w:eastAsia="Times New Roman" w:hAnsi="Times New Roman" w:cs="Times New Roman"/>
        </w:rPr>
      </w:pPr>
    </w:p>
    <w:p w14:paraId="0000001D" w14:textId="77777777" w:rsidR="0005362F" w:rsidRDefault="00B515AC">
      <w:pPr>
        <w:spacing w:after="240"/>
        <w:jc w:val="both"/>
        <w:rPr>
          <w:rFonts w:ascii="Times New Roman" w:eastAsia="Times New Roman" w:hAnsi="Times New Roman" w:cs="Times New Roman"/>
          <w:i/>
        </w:rPr>
      </w:pPr>
      <w:r>
        <w:rPr>
          <w:rFonts w:ascii="Times New Roman" w:eastAsia="Times New Roman" w:hAnsi="Times New Roman" w:cs="Times New Roman"/>
          <w:i/>
        </w:rPr>
        <w:t>4. Conclusioni</w:t>
      </w:r>
    </w:p>
    <w:p w14:paraId="0000001E" w14:textId="77777777" w:rsidR="0005362F" w:rsidRDefault="00B515AC">
      <w:pPr>
        <w:jc w:val="both"/>
        <w:rPr>
          <w:rFonts w:ascii="Times New Roman" w:eastAsia="Times New Roman" w:hAnsi="Times New Roman" w:cs="Times New Roman"/>
        </w:rPr>
      </w:pPr>
      <w:r>
        <w:rPr>
          <w:rFonts w:ascii="Times New Roman" w:eastAsia="Times New Roman" w:hAnsi="Times New Roman" w:cs="Times New Roman"/>
          <w:color w:val="000000"/>
        </w:rPr>
        <w:t>Alcune riflessioni, che non possono essere conclusive, dat</w:t>
      </w:r>
      <w:r>
        <w:rPr>
          <w:rFonts w:ascii="Times New Roman" w:eastAsia="Times New Roman" w:hAnsi="Times New Roman" w:cs="Times New Roman"/>
        </w:rPr>
        <w:t>a</w:t>
      </w:r>
      <w:r>
        <w:rPr>
          <w:rFonts w:ascii="Times New Roman" w:eastAsia="Times New Roman" w:hAnsi="Times New Roman" w:cs="Times New Roman"/>
          <w:color w:val="000000"/>
        </w:rPr>
        <w:t xml:space="preserve"> la vastità dell’argomento, qui solo accennato</w:t>
      </w:r>
      <w:r>
        <w:rPr>
          <w:rFonts w:ascii="Times New Roman" w:eastAsia="Times New Roman" w:hAnsi="Times New Roman" w:cs="Times New Roman"/>
        </w:rPr>
        <w:t>, e che potrebbe essere richiamato dall’immagine evocativa della megalopoli medievale di</w:t>
      </w:r>
      <w:r>
        <w:rPr>
          <w:rFonts w:ascii="Times New Roman" w:eastAsia="Times New Roman" w:hAnsi="Times New Roman" w:cs="Times New Roman"/>
          <w:color w:val="000000"/>
        </w:rPr>
        <w:t xml:space="preserve"> Samarra - </w:t>
      </w:r>
      <w:r>
        <w:rPr>
          <w:rFonts w:ascii="Times New Roman" w:eastAsia="Times New Roman" w:hAnsi="Times New Roman" w:cs="Times New Roman"/>
        </w:rPr>
        <w:t>‘</w:t>
      </w:r>
      <w:r>
        <w:rPr>
          <w:rFonts w:ascii="Times New Roman" w:eastAsia="Times New Roman" w:hAnsi="Times New Roman" w:cs="Times New Roman"/>
          <w:color w:val="000000"/>
        </w:rPr>
        <w:t>Felice è colui che la vede</w:t>
      </w:r>
      <w:r>
        <w:rPr>
          <w:rFonts w:ascii="Times New Roman" w:eastAsia="Times New Roman" w:hAnsi="Times New Roman" w:cs="Times New Roman"/>
        </w:rPr>
        <w:t>’</w:t>
      </w:r>
      <w:r>
        <w:rPr>
          <w:rFonts w:ascii="Times New Roman" w:eastAsia="Times New Roman" w:hAnsi="Times New Roman" w:cs="Times New Roman"/>
          <w:color w:val="000000"/>
        </w:rPr>
        <w:t xml:space="preserve"> - sulle rive del Tigri a nord di Baghdad, edificata </w:t>
      </w:r>
      <w:r>
        <w:rPr>
          <w:rFonts w:ascii="Times New Roman" w:eastAsia="Times New Roman" w:hAnsi="Times New Roman" w:cs="Times New Roman"/>
        </w:rPr>
        <w:t>per volontà</w:t>
      </w:r>
      <w:r>
        <w:rPr>
          <w:rFonts w:ascii="Times New Roman" w:eastAsia="Times New Roman" w:hAnsi="Times New Roman" w:cs="Times New Roman"/>
          <w:color w:val="000000"/>
        </w:rPr>
        <w:t xml:space="preserve"> del califfo Abbaside Al-Mu’tasim (836-842), possono tuttavia e</w:t>
      </w:r>
      <w:r>
        <w:rPr>
          <w:rFonts w:ascii="Times New Roman" w:eastAsia="Times New Roman" w:hAnsi="Times New Roman" w:cs="Times New Roman"/>
        </w:rPr>
        <w:t>ss</w:t>
      </w:r>
      <w:r>
        <w:rPr>
          <w:rFonts w:ascii="Times New Roman" w:eastAsia="Times New Roman" w:hAnsi="Times New Roman" w:cs="Times New Roman"/>
        </w:rPr>
        <w:t>ere utili per sintetizzare la complessità del tema case e città nel mondo islamico</w:t>
      </w:r>
      <w:r>
        <w:rPr>
          <w:rFonts w:ascii="Times New Roman" w:eastAsia="Times New Roman" w:hAnsi="Times New Roman" w:cs="Times New Roman"/>
          <w:color w:val="000000"/>
        </w:rPr>
        <w:t>.</w:t>
      </w:r>
    </w:p>
    <w:p w14:paraId="0000001F" w14:textId="77777777" w:rsidR="0005362F" w:rsidRDefault="0005362F">
      <w:pPr>
        <w:jc w:val="both"/>
        <w:rPr>
          <w:rFonts w:ascii="Times New Roman" w:eastAsia="Times New Roman" w:hAnsi="Times New Roman" w:cs="Times New Roman"/>
        </w:rPr>
      </w:pPr>
    </w:p>
    <w:p w14:paraId="00000020" w14:textId="77777777" w:rsidR="0005362F" w:rsidRDefault="00B515AC">
      <w:pPr>
        <w:jc w:val="both"/>
        <w:rPr>
          <w:rFonts w:ascii="Times New Roman" w:eastAsia="Times New Roman" w:hAnsi="Times New Roman" w:cs="Times New Roman"/>
        </w:rPr>
      </w:pPr>
      <w:r>
        <w:rPr>
          <w:rFonts w:ascii="Times New Roman" w:eastAsia="Times New Roman" w:hAnsi="Times New Roman" w:cs="Times New Roman"/>
          <w:color w:val="000000"/>
        </w:rPr>
        <w:t>Da un lato, la capacità organizzativa dello spazio urbano entro l’impero (o gli imperi) islamici del medioevo è difficilmente comparabile con le realtà dell’Europa medieva</w:t>
      </w:r>
      <w:r>
        <w:rPr>
          <w:rFonts w:ascii="Times New Roman" w:eastAsia="Times New Roman" w:hAnsi="Times New Roman" w:cs="Times New Roman"/>
          <w:color w:val="000000"/>
        </w:rPr>
        <w:t xml:space="preserve">le. Basti pensare che Baghdad </w:t>
      </w:r>
      <w:r>
        <w:rPr>
          <w:rFonts w:ascii="Times New Roman" w:eastAsia="Times New Roman" w:hAnsi="Times New Roman" w:cs="Times New Roman"/>
        </w:rPr>
        <w:t>era</w:t>
      </w:r>
      <w:r>
        <w:rPr>
          <w:rFonts w:ascii="Times New Roman" w:eastAsia="Times New Roman" w:hAnsi="Times New Roman" w:cs="Times New Roman"/>
          <w:color w:val="000000"/>
        </w:rPr>
        <w:t>, tra X e XIII secolo, una città di 1 milione (talvolta 1.200.000) abitanti, mentre in Europa, alla fine del Duecento e all</w:t>
      </w:r>
      <w:r>
        <w:rPr>
          <w:rFonts w:ascii="Times New Roman" w:eastAsia="Times New Roman" w:hAnsi="Times New Roman" w:cs="Times New Roman"/>
        </w:rPr>
        <w:t>’apice</w:t>
      </w:r>
      <w:r>
        <w:rPr>
          <w:rFonts w:ascii="Times New Roman" w:eastAsia="Times New Roman" w:hAnsi="Times New Roman" w:cs="Times New Roman"/>
          <w:color w:val="000000"/>
        </w:rPr>
        <w:t xml:space="preserve"> della crescita demografica precedente alle epidemie di peste del </w:t>
      </w:r>
      <w:r>
        <w:rPr>
          <w:rFonts w:ascii="Times New Roman" w:eastAsia="Times New Roman" w:hAnsi="Times New Roman" w:cs="Times New Roman"/>
        </w:rPr>
        <w:t>XIV secolo</w:t>
      </w:r>
      <w:r>
        <w:rPr>
          <w:rFonts w:ascii="Times New Roman" w:eastAsia="Times New Roman" w:hAnsi="Times New Roman" w:cs="Times New Roman"/>
          <w:color w:val="000000"/>
        </w:rPr>
        <w:t>, le quattro maggi</w:t>
      </w:r>
      <w:r>
        <w:rPr>
          <w:rFonts w:ascii="Times New Roman" w:eastAsia="Times New Roman" w:hAnsi="Times New Roman" w:cs="Times New Roman"/>
          <w:color w:val="000000"/>
        </w:rPr>
        <w:t>ori città (Milano, Venezia, Firenze e Parigi) oscillavano tra i 100 e i 150 mila abitanti (</w:t>
      </w:r>
      <w:r>
        <w:rPr>
          <w:rFonts w:ascii="Times New Roman" w:eastAsia="Times New Roman" w:hAnsi="Times New Roman" w:cs="Times New Roman"/>
          <w:smallCaps/>
        </w:rPr>
        <w:t>Cherubini</w:t>
      </w:r>
      <w:r>
        <w:rPr>
          <w:rFonts w:ascii="Times New Roman" w:eastAsia="Times New Roman" w:hAnsi="Times New Roman" w:cs="Times New Roman"/>
          <w:color w:val="000000"/>
        </w:rPr>
        <w:t xml:space="preserve"> 2003) - numeri da centri di medie dimensioni in area islamica, di cui si contano decine di esempi. </w:t>
      </w:r>
      <w:r>
        <w:rPr>
          <w:rFonts w:ascii="Times New Roman" w:eastAsia="Times New Roman" w:hAnsi="Times New Roman" w:cs="Times New Roman"/>
        </w:rPr>
        <w:t xml:space="preserve"> </w:t>
      </w:r>
      <w:r>
        <w:rPr>
          <w:rFonts w:ascii="Times New Roman" w:eastAsia="Times New Roman" w:hAnsi="Times New Roman" w:cs="Times New Roman"/>
          <w:color w:val="000000"/>
        </w:rPr>
        <w:t xml:space="preserve">Tale capacità urbanistico-organizzativa </w:t>
      </w:r>
      <w:r>
        <w:rPr>
          <w:rFonts w:ascii="Times New Roman" w:eastAsia="Times New Roman" w:hAnsi="Times New Roman" w:cs="Times New Roman"/>
        </w:rPr>
        <w:t>tende a suddivi</w:t>
      </w:r>
      <w:r>
        <w:rPr>
          <w:rFonts w:ascii="Times New Roman" w:eastAsia="Times New Roman" w:hAnsi="Times New Roman" w:cs="Times New Roman"/>
        </w:rPr>
        <w:t xml:space="preserve">dere e compartimentare </w:t>
      </w:r>
      <w:r>
        <w:rPr>
          <w:rFonts w:ascii="Times New Roman" w:eastAsia="Times New Roman" w:hAnsi="Times New Roman" w:cs="Times New Roman"/>
          <w:color w:val="000000"/>
        </w:rPr>
        <w:t xml:space="preserve">la città in macro-funzioni spazialmente separate, con aree militari, amministrative, di mercato, produttive, discariche sistematizzate ecc. La casa, quindi, appare in tale contesto come unità tendenzialmente </w:t>
      </w:r>
      <w:r>
        <w:rPr>
          <w:rFonts w:ascii="Times New Roman" w:eastAsia="Times New Roman" w:hAnsi="Times New Roman" w:cs="Times New Roman"/>
        </w:rPr>
        <w:t>‘</w:t>
      </w:r>
      <w:r>
        <w:rPr>
          <w:rFonts w:ascii="Times New Roman" w:eastAsia="Times New Roman" w:hAnsi="Times New Roman" w:cs="Times New Roman"/>
          <w:color w:val="000000"/>
        </w:rPr>
        <w:t>non polivalente</w:t>
      </w:r>
      <w:r>
        <w:rPr>
          <w:rFonts w:ascii="Times New Roman" w:eastAsia="Times New Roman" w:hAnsi="Times New Roman" w:cs="Times New Roman"/>
        </w:rPr>
        <w:t>’</w:t>
      </w:r>
      <w:r>
        <w:rPr>
          <w:rFonts w:ascii="Times New Roman" w:eastAsia="Times New Roman" w:hAnsi="Times New Roman" w:cs="Times New Roman"/>
          <w:color w:val="000000"/>
        </w:rPr>
        <w:t xml:space="preserve"> ma, </w:t>
      </w:r>
      <w:r>
        <w:rPr>
          <w:rFonts w:ascii="Times New Roman" w:eastAsia="Times New Roman" w:hAnsi="Times New Roman" w:cs="Times New Roman"/>
        </w:rPr>
        <w:t>piu</w:t>
      </w:r>
      <w:r>
        <w:rPr>
          <w:rFonts w:ascii="Times New Roman" w:eastAsia="Times New Roman" w:hAnsi="Times New Roman" w:cs="Times New Roman"/>
        </w:rPr>
        <w:t>ttosto, specializzata</w:t>
      </w:r>
      <w:r>
        <w:rPr>
          <w:rFonts w:ascii="Times New Roman" w:eastAsia="Times New Roman" w:hAnsi="Times New Roman" w:cs="Times New Roman"/>
          <w:color w:val="000000"/>
        </w:rPr>
        <w:t xml:space="preserve"> </w:t>
      </w:r>
      <w:r>
        <w:rPr>
          <w:rFonts w:ascii="Times New Roman" w:eastAsia="Times New Roman" w:hAnsi="Times New Roman" w:cs="Times New Roman"/>
        </w:rPr>
        <w:t>nella funzione</w:t>
      </w:r>
      <w:r>
        <w:rPr>
          <w:rFonts w:ascii="Times New Roman" w:eastAsia="Times New Roman" w:hAnsi="Times New Roman" w:cs="Times New Roman"/>
          <w:color w:val="000000"/>
        </w:rPr>
        <w:t xml:space="preserve"> residenziale (a differenza, ad esempio, delle case a schiera con bottega che compaiono in Italia tra XII e XIV secolo).</w:t>
      </w:r>
    </w:p>
    <w:p w14:paraId="00000021" w14:textId="77777777" w:rsidR="0005362F" w:rsidRDefault="00B515AC">
      <w:pPr>
        <w:jc w:val="both"/>
        <w:rPr>
          <w:rFonts w:ascii="Times New Roman" w:eastAsia="Times New Roman" w:hAnsi="Times New Roman" w:cs="Times New Roman"/>
        </w:rPr>
      </w:pPr>
      <w:r>
        <w:rPr>
          <w:rFonts w:ascii="Times New Roman" w:eastAsia="Times New Roman" w:hAnsi="Times New Roman" w:cs="Times New Roman"/>
          <w:color w:val="000000"/>
        </w:rPr>
        <w:t>I quartieri residenziali sono dislocati in aree normalmente distinte da quelle commerciali o produt</w:t>
      </w:r>
      <w:r>
        <w:rPr>
          <w:rFonts w:ascii="Times New Roman" w:eastAsia="Times New Roman" w:hAnsi="Times New Roman" w:cs="Times New Roman"/>
          <w:color w:val="000000"/>
        </w:rPr>
        <w:t xml:space="preserve">tive e spesso si organizzano su base tribale o familiare, in clusters ‘clanici’ per cui in occidente potremmo trovare qualche (limitata) analogia con la dislocazione delle </w:t>
      </w:r>
      <w:r>
        <w:rPr>
          <w:rFonts w:ascii="Times New Roman" w:eastAsia="Times New Roman" w:hAnsi="Times New Roman" w:cs="Times New Roman"/>
          <w:i/>
          <w:color w:val="000000"/>
        </w:rPr>
        <w:t xml:space="preserve">curie </w:t>
      </w:r>
      <w:r>
        <w:rPr>
          <w:rFonts w:ascii="Times New Roman" w:eastAsia="Times New Roman" w:hAnsi="Times New Roman" w:cs="Times New Roman"/>
          <w:color w:val="000000"/>
        </w:rPr>
        <w:t>urbane dell’aristocrazia genovese di XII-XIV secolo. Solo limitata tuttavia, g</w:t>
      </w:r>
      <w:r>
        <w:rPr>
          <w:rFonts w:ascii="Times New Roman" w:eastAsia="Times New Roman" w:hAnsi="Times New Roman" w:cs="Times New Roman"/>
          <w:color w:val="000000"/>
        </w:rPr>
        <w:t xml:space="preserve">iacché la sterminata varietà culturale dei </w:t>
      </w:r>
      <w:r>
        <w:rPr>
          <w:rFonts w:ascii="Times New Roman" w:eastAsia="Times New Roman" w:hAnsi="Times New Roman" w:cs="Times New Roman"/>
          <w:i/>
          <w:color w:val="000000"/>
        </w:rPr>
        <w:t>dhimmi</w:t>
      </w:r>
      <w:r>
        <w:rPr>
          <w:rFonts w:ascii="Times New Roman" w:eastAsia="Times New Roman" w:hAnsi="Times New Roman" w:cs="Times New Roman"/>
          <w:color w:val="000000"/>
        </w:rPr>
        <w:t xml:space="preserve">, a lungo </w:t>
      </w:r>
      <w:r>
        <w:rPr>
          <w:rFonts w:ascii="Times New Roman" w:eastAsia="Times New Roman" w:hAnsi="Times New Roman" w:cs="Times New Roman"/>
          <w:i/>
          <w:color w:val="000000"/>
        </w:rPr>
        <w:t>magna pars</w:t>
      </w:r>
      <w:r>
        <w:rPr>
          <w:rFonts w:ascii="Times New Roman" w:eastAsia="Times New Roman" w:hAnsi="Times New Roman" w:cs="Times New Roman"/>
          <w:color w:val="000000"/>
        </w:rPr>
        <w:t xml:space="preserve"> della popolazione degli imperi islamici, semplicemente non </w:t>
      </w:r>
      <w:r>
        <w:rPr>
          <w:rFonts w:ascii="Times New Roman" w:eastAsia="Times New Roman" w:hAnsi="Times New Roman" w:cs="Times New Roman"/>
        </w:rPr>
        <w:t xml:space="preserve">aveva </w:t>
      </w:r>
      <w:r>
        <w:rPr>
          <w:rFonts w:ascii="Times New Roman" w:eastAsia="Times New Roman" w:hAnsi="Times New Roman" w:cs="Times New Roman"/>
          <w:color w:val="000000"/>
        </w:rPr>
        <w:t>eguali in Europa. </w:t>
      </w:r>
    </w:p>
    <w:p w14:paraId="00000022" w14:textId="77777777" w:rsidR="0005362F" w:rsidRDefault="00B515AC">
      <w:pPr>
        <w:jc w:val="both"/>
        <w:rPr>
          <w:rFonts w:ascii="Times New Roman" w:eastAsia="Times New Roman" w:hAnsi="Times New Roman" w:cs="Times New Roman"/>
        </w:rPr>
      </w:pPr>
      <w:r>
        <w:rPr>
          <w:rFonts w:ascii="Times New Roman" w:eastAsia="Times New Roman" w:hAnsi="Times New Roman" w:cs="Times New Roman"/>
        </w:rPr>
        <w:br/>
      </w:r>
      <w:r>
        <w:rPr>
          <w:rFonts w:ascii="Times New Roman" w:eastAsia="Times New Roman" w:hAnsi="Times New Roman" w:cs="Times New Roman"/>
          <w:color w:val="000000"/>
        </w:rPr>
        <w:t>E quindi torniamo al discorso iniziale di questo contributo: è alle diverse anime delle popolazioni l</w:t>
      </w:r>
      <w:r>
        <w:rPr>
          <w:rFonts w:ascii="Times New Roman" w:eastAsia="Times New Roman" w:hAnsi="Times New Roman" w:cs="Times New Roman"/>
          <w:color w:val="000000"/>
        </w:rPr>
        <w:t xml:space="preserve">ocali che si deve guardare per collegare i fili delle tradizioni produttive e agricole che vengono messe a disposizione delle </w:t>
      </w:r>
      <w:r>
        <w:rPr>
          <w:rFonts w:ascii="Times New Roman" w:eastAsia="Times New Roman" w:hAnsi="Times New Roman" w:cs="Times New Roman"/>
          <w:i/>
          <w:color w:val="000000"/>
        </w:rPr>
        <w:t xml:space="preserve">élites </w:t>
      </w:r>
      <w:r>
        <w:rPr>
          <w:rFonts w:ascii="Times New Roman" w:eastAsia="Times New Roman" w:hAnsi="Times New Roman" w:cs="Times New Roman"/>
          <w:color w:val="000000"/>
        </w:rPr>
        <w:t xml:space="preserve">arabe impegnate, tra VII e VIII secolo, a gettare le basi materiali della cultura islamica; produzione edilizia inclusa. E </w:t>
      </w:r>
      <w:r>
        <w:rPr>
          <w:rFonts w:ascii="Times New Roman" w:eastAsia="Times New Roman" w:hAnsi="Times New Roman" w:cs="Times New Roman"/>
          <w:color w:val="000000"/>
        </w:rPr>
        <w:t>qui sarebbe opportuno riprendere le tesi di O. La Bianca sulle Great and Little Traditions delle popolazioni imperiali (</w:t>
      </w:r>
      <w:r>
        <w:rPr>
          <w:rFonts w:ascii="Times New Roman" w:eastAsia="Times New Roman" w:hAnsi="Times New Roman" w:cs="Times New Roman"/>
          <w:smallCaps/>
        </w:rPr>
        <w:t>Nucciotti</w:t>
      </w:r>
      <w:r>
        <w:rPr>
          <w:rFonts w:ascii="Times New Roman" w:eastAsia="Times New Roman" w:hAnsi="Times New Roman" w:cs="Times New Roman"/>
        </w:rPr>
        <w:t xml:space="preserve">, </w:t>
      </w:r>
      <w:r>
        <w:rPr>
          <w:rFonts w:ascii="Times New Roman" w:eastAsia="Times New Roman" w:hAnsi="Times New Roman" w:cs="Times New Roman"/>
          <w:smallCaps/>
        </w:rPr>
        <w:t>Pruno</w:t>
      </w:r>
      <w:r>
        <w:rPr>
          <w:rFonts w:ascii="Times New Roman" w:eastAsia="Times New Roman" w:hAnsi="Times New Roman" w:cs="Times New Roman"/>
        </w:rPr>
        <w:t>, 2016</w:t>
      </w:r>
      <w:r>
        <w:rPr>
          <w:rFonts w:ascii="Times New Roman" w:eastAsia="Times New Roman" w:hAnsi="Times New Roman" w:cs="Times New Roman"/>
          <w:color w:val="000000"/>
        </w:rPr>
        <w:t>). Ma dovremmo cominciare un altro intervento!</w:t>
      </w:r>
    </w:p>
    <w:p w14:paraId="00000023" w14:textId="77777777" w:rsidR="0005362F" w:rsidRDefault="0005362F">
      <w:pPr>
        <w:jc w:val="both"/>
        <w:rPr>
          <w:rFonts w:ascii="Times New Roman" w:eastAsia="Times New Roman" w:hAnsi="Times New Roman" w:cs="Times New Roman"/>
        </w:rPr>
      </w:pPr>
    </w:p>
    <w:p w14:paraId="00000024" w14:textId="77777777" w:rsidR="0005362F" w:rsidRDefault="00B515AC">
      <w:pPr>
        <w:jc w:val="both"/>
        <w:rPr>
          <w:rFonts w:ascii="Times New Roman" w:eastAsia="Times New Roman" w:hAnsi="Times New Roman" w:cs="Times New Roman"/>
        </w:rPr>
      </w:pPr>
      <w:r>
        <w:rPr>
          <w:rFonts w:ascii="Times New Roman" w:eastAsia="Times New Roman" w:hAnsi="Times New Roman" w:cs="Times New Roman"/>
        </w:rPr>
        <w:t>[M.N.]</w:t>
      </w:r>
    </w:p>
    <w:p w14:paraId="00000025" w14:textId="77777777" w:rsidR="0005362F" w:rsidRDefault="0005362F">
      <w:pPr>
        <w:jc w:val="both"/>
        <w:rPr>
          <w:rFonts w:ascii="Times New Roman" w:eastAsia="Times New Roman" w:hAnsi="Times New Roman" w:cs="Times New Roman"/>
        </w:rPr>
      </w:pPr>
    </w:p>
    <w:p w14:paraId="00000026" w14:textId="77777777" w:rsidR="0005362F" w:rsidRDefault="0005362F">
      <w:pPr>
        <w:jc w:val="both"/>
        <w:rPr>
          <w:rFonts w:ascii="Times New Roman" w:eastAsia="Times New Roman" w:hAnsi="Times New Roman" w:cs="Times New Roman"/>
        </w:rPr>
      </w:pPr>
    </w:p>
    <w:p w14:paraId="00000027" w14:textId="77777777" w:rsidR="0005362F" w:rsidRDefault="00B515AC">
      <w:pPr>
        <w:jc w:val="both"/>
        <w:rPr>
          <w:rFonts w:ascii="Times New Roman" w:eastAsia="Times New Roman" w:hAnsi="Times New Roman" w:cs="Times New Roman"/>
          <w:i/>
        </w:rPr>
      </w:pPr>
      <w:r>
        <w:rPr>
          <w:rFonts w:ascii="Times New Roman" w:eastAsia="Times New Roman" w:hAnsi="Times New Roman" w:cs="Times New Roman"/>
          <w:i/>
        </w:rPr>
        <w:t>5. Bibliografia</w:t>
      </w:r>
    </w:p>
    <w:p w14:paraId="00000028" w14:textId="77777777" w:rsidR="0005362F" w:rsidRDefault="00B515AC">
      <w:pPr>
        <w:spacing w:before="240" w:after="200" w:line="276" w:lineRule="auto"/>
        <w:jc w:val="both"/>
        <w:rPr>
          <w:rFonts w:ascii="Times New Roman" w:eastAsia="Times New Roman" w:hAnsi="Times New Roman" w:cs="Times New Roman"/>
          <w:smallCaps/>
        </w:rPr>
      </w:pPr>
      <w:r>
        <w:rPr>
          <w:rFonts w:ascii="Times New Roman" w:eastAsia="Times New Roman" w:hAnsi="Times New Roman" w:cs="Times New Roman"/>
          <w:smallCaps/>
        </w:rPr>
        <w:t xml:space="preserve">Ayyad, E. S., 2013, </w:t>
      </w:r>
      <w:r>
        <w:rPr>
          <w:rFonts w:ascii="Times New Roman" w:eastAsia="Times New Roman" w:hAnsi="Times New Roman" w:cs="Times New Roman"/>
          <w:i/>
        </w:rPr>
        <w:t>The ‘House of the Pro</w:t>
      </w:r>
      <w:r>
        <w:rPr>
          <w:rFonts w:ascii="Times New Roman" w:eastAsia="Times New Roman" w:hAnsi="Times New Roman" w:cs="Times New Roman"/>
          <w:i/>
        </w:rPr>
        <w:t>phet’ or the ‘Mosque of the Prophet’?</w:t>
      </w:r>
      <w:r>
        <w:rPr>
          <w:rFonts w:ascii="Times New Roman" w:eastAsia="Times New Roman" w:hAnsi="Times New Roman" w:cs="Times New Roman"/>
        </w:rPr>
        <w:t>, “Journal of Islamic Studies”, vol. 24, n. 3 (September 2013), pp.273-334.</w:t>
      </w:r>
    </w:p>
    <w:p w14:paraId="00000029" w14:textId="77777777" w:rsidR="0005362F" w:rsidRDefault="00B515AC">
      <w:pPr>
        <w:spacing w:before="240" w:after="200" w:line="276" w:lineRule="auto"/>
        <w:jc w:val="both"/>
        <w:rPr>
          <w:rFonts w:ascii="Times New Roman" w:eastAsia="Times New Roman" w:hAnsi="Times New Roman" w:cs="Times New Roman"/>
        </w:rPr>
      </w:pPr>
      <w:r>
        <w:rPr>
          <w:rFonts w:ascii="Times New Roman" w:eastAsia="Times New Roman" w:hAnsi="Times New Roman" w:cs="Times New Roman"/>
          <w:smallCaps/>
        </w:rPr>
        <w:t>Almagro</w:t>
      </w:r>
      <w:r>
        <w:rPr>
          <w:rFonts w:ascii="Times New Roman" w:eastAsia="Times New Roman" w:hAnsi="Times New Roman" w:cs="Times New Roman"/>
        </w:rPr>
        <w:t xml:space="preserve"> A, </w:t>
      </w:r>
      <w:r>
        <w:rPr>
          <w:rFonts w:ascii="Times New Roman" w:eastAsia="Times New Roman" w:hAnsi="Times New Roman" w:cs="Times New Roman"/>
          <w:smallCaps/>
        </w:rPr>
        <w:t>Jiménez</w:t>
      </w:r>
      <w:r>
        <w:rPr>
          <w:rFonts w:ascii="Times New Roman" w:eastAsia="Times New Roman" w:hAnsi="Times New Roman" w:cs="Times New Roman"/>
        </w:rPr>
        <w:t xml:space="preserve"> P., 2000, </w:t>
      </w:r>
      <w:r>
        <w:rPr>
          <w:rFonts w:ascii="Times New Roman" w:eastAsia="Times New Roman" w:hAnsi="Times New Roman" w:cs="Times New Roman"/>
          <w:i/>
        </w:rPr>
        <w:t>The Ummayad Mosque of the Citadel of Amman</w:t>
      </w:r>
      <w:r>
        <w:rPr>
          <w:rFonts w:ascii="Times New Roman" w:eastAsia="Times New Roman" w:hAnsi="Times New Roman" w:cs="Times New Roman"/>
        </w:rPr>
        <w:t>, “ADAJ”, XLIV, pp. 459-475.</w:t>
      </w:r>
    </w:p>
    <w:p w14:paraId="0000002A" w14:textId="77777777" w:rsidR="0005362F" w:rsidRDefault="00B515AC">
      <w:pPr>
        <w:spacing w:after="200" w:line="256" w:lineRule="auto"/>
        <w:jc w:val="both"/>
        <w:rPr>
          <w:rFonts w:ascii="Times New Roman" w:eastAsia="Times New Roman" w:hAnsi="Times New Roman" w:cs="Times New Roman"/>
        </w:rPr>
      </w:pPr>
      <w:r>
        <w:rPr>
          <w:rFonts w:ascii="Times New Roman" w:eastAsia="Times New Roman" w:hAnsi="Times New Roman" w:cs="Times New Roman"/>
          <w:smallCaps/>
        </w:rPr>
        <w:t>Al</w:t>
      </w:r>
      <w:r>
        <w:rPr>
          <w:rFonts w:ascii="Times New Roman" w:eastAsia="Times New Roman" w:hAnsi="Times New Roman" w:cs="Times New Roman"/>
          <w:color w:val="212529"/>
          <w:shd w:val="clear" w:color="auto" w:fill="FBFBFB"/>
        </w:rPr>
        <w:t xml:space="preserve"> </w:t>
      </w:r>
      <w:r>
        <w:rPr>
          <w:rFonts w:ascii="Times New Roman" w:eastAsia="Times New Roman" w:hAnsi="Times New Roman" w:cs="Times New Roman"/>
          <w:smallCaps/>
        </w:rPr>
        <w:t>Shqour</w:t>
      </w:r>
      <w:r>
        <w:rPr>
          <w:rFonts w:ascii="Times New Roman" w:eastAsia="Times New Roman" w:hAnsi="Times New Roman" w:cs="Times New Roman"/>
          <w:color w:val="212529"/>
          <w:shd w:val="clear" w:color="auto" w:fill="FBFBFB"/>
        </w:rPr>
        <w:t xml:space="preserve"> R.</w:t>
      </w:r>
      <w:r>
        <w:rPr>
          <w:rFonts w:ascii="Times New Roman" w:eastAsia="Times New Roman" w:hAnsi="Times New Roman" w:cs="Times New Roman"/>
        </w:rPr>
        <w:t xml:space="preserve">, 2019, </w:t>
      </w:r>
      <w:r>
        <w:rPr>
          <w:rFonts w:ascii="Times New Roman" w:eastAsia="Times New Roman" w:hAnsi="Times New Roman" w:cs="Times New Roman"/>
          <w:i/>
          <w:color w:val="212529"/>
          <w:shd w:val="clear" w:color="auto" w:fill="FBFBFB"/>
        </w:rPr>
        <w:t>The Aqaba Khans and the origin of khans in Jordan: an archaeological approach</w:t>
      </w:r>
      <w:r>
        <w:rPr>
          <w:rFonts w:ascii="Times New Roman" w:eastAsia="Times New Roman" w:hAnsi="Times New Roman" w:cs="Times New Roman"/>
          <w:color w:val="212529"/>
          <w:shd w:val="clear" w:color="auto" w:fill="FBFBFB"/>
        </w:rPr>
        <w:t>, Piscataway, NJ : Gorgias Press.</w:t>
      </w:r>
    </w:p>
    <w:p w14:paraId="0000002B" w14:textId="77777777" w:rsidR="0005362F" w:rsidRDefault="00B515AC">
      <w:pPr>
        <w:spacing w:after="200" w:line="256" w:lineRule="auto"/>
        <w:jc w:val="both"/>
        <w:rPr>
          <w:rFonts w:ascii="Times New Roman" w:eastAsia="Times New Roman" w:hAnsi="Times New Roman" w:cs="Times New Roman"/>
        </w:rPr>
      </w:pPr>
      <w:r>
        <w:rPr>
          <w:rFonts w:ascii="Times New Roman" w:eastAsia="Times New Roman" w:hAnsi="Times New Roman" w:cs="Times New Roman"/>
          <w:smallCaps/>
        </w:rPr>
        <w:t>Arce</w:t>
      </w:r>
      <w:r>
        <w:rPr>
          <w:rFonts w:ascii="Times New Roman" w:eastAsia="Times New Roman" w:hAnsi="Times New Roman" w:cs="Times New Roman"/>
          <w:highlight w:val="white"/>
        </w:rPr>
        <w:t xml:space="preserve"> I., 2009, </w:t>
      </w:r>
      <w:r>
        <w:rPr>
          <w:rFonts w:ascii="Times New Roman" w:eastAsia="Times New Roman" w:hAnsi="Times New Roman" w:cs="Times New Roman"/>
          <w:i/>
          <w:highlight w:val="white"/>
        </w:rPr>
        <w:t>The Palatine City at ʿAmman Citadel. The Construction of a Palatine Architecture under the Umayyads (II)</w:t>
      </w:r>
      <w:r>
        <w:rPr>
          <w:rFonts w:ascii="Times New Roman" w:eastAsia="Times New Roman" w:hAnsi="Times New Roman" w:cs="Times New Roman"/>
          <w:highlight w:val="white"/>
        </w:rPr>
        <w:t xml:space="preserve"> », in Bartl K. &amp; Moaz A. </w:t>
      </w:r>
      <w:r>
        <w:rPr>
          <w:rFonts w:ascii="Times New Roman" w:eastAsia="Times New Roman" w:hAnsi="Times New Roman" w:cs="Times New Roman"/>
          <w:highlight w:val="white"/>
        </w:rPr>
        <w:t xml:space="preserve">éd. </w:t>
      </w:r>
      <w:r>
        <w:rPr>
          <w:rFonts w:ascii="Times New Roman" w:eastAsia="Times New Roman" w:hAnsi="Times New Roman" w:cs="Times New Roman"/>
          <w:i/>
          <w:highlight w:val="white"/>
        </w:rPr>
        <w:t>Residences, Castles, Settlements- Transformation Processes from Late Antiquity to Early Islamic Times (Proceedings of the Colloquium on Late Antiquity and Early Islamic Archaeology in Bilad al-Sham.Damascus, November 2006)</w:t>
      </w:r>
      <w:r>
        <w:rPr>
          <w:rFonts w:ascii="Times New Roman" w:eastAsia="Times New Roman" w:hAnsi="Times New Roman" w:cs="Times New Roman"/>
          <w:highlight w:val="white"/>
        </w:rPr>
        <w:t xml:space="preserve">, </w:t>
      </w:r>
      <w:r>
        <w:rPr>
          <w:rFonts w:ascii="Times New Roman" w:eastAsia="Times New Roman" w:hAnsi="Times New Roman" w:cs="Times New Roman"/>
          <w:i/>
          <w:highlight w:val="white"/>
        </w:rPr>
        <w:t>Orient Archäologie</w:t>
      </w:r>
      <w:r>
        <w:rPr>
          <w:rFonts w:ascii="Times New Roman" w:eastAsia="Times New Roman" w:hAnsi="Times New Roman" w:cs="Times New Roman"/>
          <w:highlight w:val="white"/>
        </w:rPr>
        <w:t>, 24, Rahd</w:t>
      </w:r>
      <w:r>
        <w:rPr>
          <w:rFonts w:ascii="Times New Roman" w:eastAsia="Times New Roman" w:hAnsi="Times New Roman" w:cs="Times New Roman"/>
          <w:highlight w:val="white"/>
        </w:rPr>
        <w:t>en, pp. 183-216.</w:t>
      </w:r>
    </w:p>
    <w:p w14:paraId="0000002C" w14:textId="77777777" w:rsidR="0005362F" w:rsidRDefault="00B515AC">
      <w:pPr>
        <w:spacing w:after="200" w:line="276" w:lineRule="auto"/>
        <w:jc w:val="both"/>
        <w:rPr>
          <w:rFonts w:ascii="Times New Roman" w:eastAsia="Times New Roman" w:hAnsi="Times New Roman" w:cs="Times New Roman"/>
        </w:rPr>
      </w:pPr>
      <w:r>
        <w:rPr>
          <w:rFonts w:ascii="Times New Roman" w:eastAsia="Times New Roman" w:hAnsi="Times New Roman" w:cs="Times New Roman"/>
          <w:smallCaps/>
        </w:rPr>
        <w:t>Arcifa</w:t>
      </w:r>
      <w:r>
        <w:rPr>
          <w:rFonts w:ascii="Times New Roman" w:eastAsia="Times New Roman" w:hAnsi="Times New Roman" w:cs="Times New Roman"/>
        </w:rPr>
        <w:t xml:space="preserve"> L. </w:t>
      </w:r>
      <w:r>
        <w:rPr>
          <w:rFonts w:ascii="Times New Roman" w:eastAsia="Times New Roman" w:hAnsi="Times New Roman" w:cs="Times New Roman"/>
          <w:i/>
        </w:rPr>
        <w:t>et alii</w:t>
      </w:r>
      <w:r>
        <w:rPr>
          <w:rFonts w:ascii="Times New Roman" w:eastAsia="Times New Roman" w:hAnsi="Times New Roman" w:cs="Times New Roman"/>
        </w:rPr>
        <w:t xml:space="preserve">, 2012, </w:t>
      </w:r>
      <w:r>
        <w:rPr>
          <w:rFonts w:ascii="Times New Roman" w:eastAsia="Times New Roman" w:hAnsi="Times New Roman" w:cs="Times New Roman"/>
          <w:i/>
        </w:rPr>
        <w:t>Archeologia della Sicilia islamica: nuove proposte di riflessione</w:t>
      </w:r>
      <w:r>
        <w:rPr>
          <w:rFonts w:ascii="Times New Roman" w:eastAsia="Times New Roman" w:hAnsi="Times New Roman" w:cs="Times New Roman"/>
        </w:rPr>
        <w:t xml:space="preserve">, in Sénac P. (dir.), </w:t>
      </w:r>
      <w:r>
        <w:rPr>
          <w:rFonts w:ascii="Times New Roman" w:eastAsia="Times New Roman" w:hAnsi="Times New Roman" w:cs="Times New Roman"/>
          <w:i/>
        </w:rPr>
        <w:t>Histoire et archéologie de l’Occident musulman (VIIe-XVe siècle): al-Andalus, Maghreb, Sicile</w:t>
      </w:r>
      <w:r>
        <w:rPr>
          <w:rFonts w:ascii="Times New Roman" w:eastAsia="Times New Roman" w:hAnsi="Times New Roman" w:cs="Times New Roman"/>
        </w:rPr>
        <w:t>, Cnrs-Université de Toulouse le M</w:t>
      </w:r>
      <w:r>
        <w:rPr>
          <w:rFonts w:ascii="Times New Roman" w:eastAsia="Times New Roman" w:hAnsi="Times New Roman" w:cs="Times New Roman"/>
        </w:rPr>
        <w:t>irail (Villa 4), pp. 241-274.</w:t>
      </w:r>
    </w:p>
    <w:p w14:paraId="0000002D" w14:textId="77777777" w:rsidR="0005362F" w:rsidRDefault="00B515AC">
      <w:pPr>
        <w:spacing w:after="200" w:line="276" w:lineRule="auto"/>
        <w:jc w:val="both"/>
        <w:rPr>
          <w:rFonts w:ascii="Times New Roman" w:eastAsia="Times New Roman" w:hAnsi="Times New Roman" w:cs="Times New Roman"/>
          <w:color w:val="212529"/>
          <w:shd w:val="clear" w:color="auto" w:fill="FBFBFB"/>
        </w:rPr>
      </w:pPr>
      <w:r>
        <w:rPr>
          <w:rFonts w:ascii="Times New Roman" w:eastAsia="Times New Roman" w:hAnsi="Times New Roman" w:cs="Times New Roman"/>
          <w:smallCaps/>
        </w:rPr>
        <w:t xml:space="preserve">Cherubini, G., 2003, </w:t>
      </w:r>
      <w:r>
        <w:rPr>
          <w:rFonts w:ascii="Times New Roman" w:eastAsia="Times New Roman" w:hAnsi="Times New Roman" w:cs="Times New Roman"/>
          <w:i/>
          <w:color w:val="212529"/>
          <w:shd w:val="clear" w:color="auto" w:fill="FBFBFB"/>
        </w:rPr>
        <w:t>Le città italiane dell’età di Dante</w:t>
      </w:r>
      <w:r>
        <w:rPr>
          <w:rFonts w:ascii="Times New Roman" w:eastAsia="Times New Roman" w:hAnsi="Times New Roman" w:cs="Times New Roman"/>
          <w:color w:val="212529"/>
          <w:shd w:val="clear" w:color="auto" w:fill="FBFBFB"/>
        </w:rPr>
        <w:t>, Pisa, Pacini.</w:t>
      </w:r>
    </w:p>
    <w:p w14:paraId="0000002E" w14:textId="77777777" w:rsidR="0005362F" w:rsidRDefault="00B515AC">
      <w:pPr>
        <w:spacing w:after="200" w:line="276" w:lineRule="auto"/>
        <w:jc w:val="both"/>
        <w:rPr>
          <w:rFonts w:ascii="Times New Roman" w:eastAsia="Times New Roman" w:hAnsi="Times New Roman" w:cs="Times New Roman"/>
          <w:color w:val="212529"/>
          <w:shd w:val="clear" w:color="auto" w:fill="FBFBFB"/>
        </w:rPr>
      </w:pPr>
      <w:r>
        <w:rPr>
          <w:rFonts w:ascii="Times New Roman" w:eastAsia="Times New Roman" w:hAnsi="Times New Roman" w:cs="Times New Roman"/>
          <w:smallCaps/>
        </w:rPr>
        <w:t>Gayraud</w:t>
      </w:r>
      <w:r>
        <w:rPr>
          <w:rFonts w:ascii="Times New Roman" w:eastAsia="Times New Roman" w:hAnsi="Times New Roman" w:cs="Times New Roman"/>
          <w:color w:val="212529"/>
          <w:shd w:val="clear" w:color="auto" w:fill="FBFBFB"/>
        </w:rPr>
        <w:t xml:space="preserve"> R.P., 1998, </w:t>
      </w:r>
      <w:r>
        <w:rPr>
          <w:rFonts w:ascii="Times New Roman" w:eastAsia="Times New Roman" w:hAnsi="Times New Roman" w:cs="Times New Roman"/>
          <w:i/>
          <w:color w:val="212529"/>
          <w:shd w:val="clear" w:color="auto" w:fill="FBFBFB"/>
        </w:rPr>
        <w:t>Fostat: évolution d’une capitale arabe du VII eau XIIe sècle d’apres les fouilles d’Istabl ‘Antar</w:t>
      </w:r>
      <w:r>
        <w:rPr>
          <w:rFonts w:ascii="Times New Roman" w:eastAsia="Times New Roman" w:hAnsi="Times New Roman" w:cs="Times New Roman"/>
          <w:color w:val="212529"/>
          <w:shd w:val="clear" w:color="auto" w:fill="FBFBFB"/>
        </w:rPr>
        <w:t>, in Colloque International d’Archéol</w:t>
      </w:r>
      <w:r>
        <w:rPr>
          <w:rFonts w:ascii="Times New Roman" w:eastAsia="Times New Roman" w:hAnsi="Times New Roman" w:cs="Times New Roman"/>
          <w:color w:val="212529"/>
          <w:shd w:val="clear" w:color="auto" w:fill="FBFBFB"/>
        </w:rPr>
        <w:t>ogie islamique, IFAO, Le Caire, pp. 435-460.</w:t>
      </w:r>
    </w:p>
    <w:p w14:paraId="0000002F" w14:textId="77777777" w:rsidR="0005362F" w:rsidRDefault="00B515AC">
      <w:pPr>
        <w:spacing w:after="200"/>
        <w:ind w:right="100"/>
        <w:jc w:val="both"/>
        <w:rPr>
          <w:rFonts w:ascii="Times New Roman" w:eastAsia="Times New Roman" w:hAnsi="Times New Roman" w:cs="Times New Roman"/>
          <w:color w:val="212529"/>
          <w:shd w:val="clear" w:color="auto" w:fill="FBFBFB"/>
        </w:rPr>
      </w:pPr>
      <w:r>
        <w:rPr>
          <w:rFonts w:ascii="Times New Roman" w:eastAsia="Times New Roman" w:hAnsi="Times New Roman" w:cs="Times New Roman"/>
          <w:smallCaps/>
        </w:rPr>
        <w:t>Gayraud</w:t>
      </w:r>
      <w:r>
        <w:rPr>
          <w:rFonts w:ascii="Times New Roman" w:eastAsia="Times New Roman" w:hAnsi="Times New Roman" w:cs="Times New Roman"/>
          <w:color w:val="212529"/>
          <w:shd w:val="clear" w:color="auto" w:fill="FBFBFB"/>
        </w:rPr>
        <w:t xml:space="preserve"> R.P., </w:t>
      </w:r>
      <w:r>
        <w:rPr>
          <w:rFonts w:ascii="Times New Roman" w:eastAsia="Times New Roman" w:hAnsi="Times New Roman" w:cs="Times New Roman"/>
          <w:smallCaps/>
        </w:rPr>
        <w:t>Vallauri</w:t>
      </w:r>
      <w:r>
        <w:rPr>
          <w:rFonts w:ascii="Times New Roman" w:eastAsia="Times New Roman" w:hAnsi="Times New Roman" w:cs="Times New Roman"/>
          <w:color w:val="212529"/>
          <w:shd w:val="clear" w:color="auto" w:fill="FBFBFB"/>
        </w:rPr>
        <w:t xml:space="preserve"> L., 2017, </w:t>
      </w:r>
      <w:r>
        <w:rPr>
          <w:rFonts w:ascii="Times New Roman" w:eastAsia="Times New Roman" w:hAnsi="Times New Roman" w:cs="Times New Roman"/>
          <w:i/>
          <w:color w:val="212529"/>
          <w:shd w:val="clear" w:color="auto" w:fill="FBFBFB"/>
        </w:rPr>
        <w:t>Fustat II. Fouilles d’Isṭabl ʿAntar. Céramiques d’ensembles des IXe et Xe siècles</w:t>
      </w:r>
      <w:r>
        <w:rPr>
          <w:rFonts w:ascii="Times New Roman" w:eastAsia="Times New Roman" w:hAnsi="Times New Roman" w:cs="Times New Roman"/>
          <w:color w:val="212529"/>
          <w:shd w:val="clear" w:color="auto" w:fill="FBFBFB"/>
        </w:rPr>
        <w:t>, FIFAO 75.</w:t>
      </w:r>
    </w:p>
    <w:p w14:paraId="00000030" w14:textId="77777777" w:rsidR="0005362F" w:rsidRDefault="00B515AC">
      <w:pPr>
        <w:spacing w:after="200"/>
        <w:ind w:right="100"/>
        <w:jc w:val="both"/>
        <w:rPr>
          <w:rFonts w:ascii="Times New Roman" w:eastAsia="Times New Roman" w:hAnsi="Times New Roman" w:cs="Times New Roman"/>
          <w:color w:val="212529"/>
          <w:shd w:val="clear" w:color="auto" w:fill="FBFBFB"/>
        </w:rPr>
      </w:pPr>
      <w:r>
        <w:rPr>
          <w:rFonts w:ascii="Times New Roman" w:eastAsia="Times New Roman" w:hAnsi="Times New Roman" w:cs="Times New Roman"/>
          <w:smallCaps/>
        </w:rPr>
        <w:t>Gawlikowski</w:t>
      </w:r>
      <w:r>
        <w:rPr>
          <w:rFonts w:ascii="Times New Roman" w:eastAsia="Times New Roman" w:hAnsi="Times New Roman" w:cs="Times New Roman"/>
          <w:color w:val="212529"/>
          <w:shd w:val="clear" w:color="auto" w:fill="FBFBFB"/>
        </w:rPr>
        <w:t xml:space="preserve"> M., 1992, </w:t>
      </w:r>
      <w:r>
        <w:rPr>
          <w:rFonts w:ascii="Times New Roman" w:eastAsia="Times New Roman" w:hAnsi="Times New Roman" w:cs="Times New Roman"/>
          <w:i/>
          <w:color w:val="212529"/>
          <w:shd w:val="clear" w:color="auto" w:fill="FBFBFB"/>
        </w:rPr>
        <w:t>Installations Omayyades à Jérash</w:t>
      </w:r>
      <w:r>
        <w:rPr>
          <w:rFonts w:ascii="Times New Roman" w:eastAsia="Times New Roman" w:hAnsi="Times New Roman" w:cs="Times New Roman"/>
          <w:color w:val="212529"/>
          <w:shd w:val="clear" w:color="auto" w:fill="FBFBFB"/>
        </w:rPr>
        <w:t>, SHAJ IV, 357-361.</w:t>
      </w:r>
    </w:p>
    <w:p w14:paraId="00000031" w14:textId="77777777" w:rsidR="0005362F" w:rsidRDefault="00B515AC">
      <w:pPr>
        <w:spacing w:after="200"/>
        <w:ind w:right="100"/>
        <w:jc w:val="both"/>
        <w:rPr>
          <w:rFonts w:ascii="Times New Roman" w:eastAsia="Times New Roman" w:hAnsi="Times New Roman" w:cs="Times New Roman"/>
          <w:color w:val="212529"/>
          <w:shd w:val="clear" w:color="auto" w:fill="FBFBFB"/>
        </w:rPr>
      </w:pPr>
      <w:r>
        <w:rPr>
          <w:rFonts w:ascii="Times New Roman" w:eastAsia="Times New Roman" w:hAnsi="Times New Roman" w:cs="Times New Roman"/>
          <w:smallCaps/>
        </w:rPr>
        <w:t>Harrison</w:t>
      </w:r>
      <w:r>
        <w:rPr>
          <w:rFonts w:ascii="Times New Roman" w:eastAsia="Times New Roman" w:hAnsi="Times New Roman" w:cs="Times New Roman"/>
          <w:color w:val="212529"/>
          <w:shd w:val="clear" w:color="auto" w:fill="FBFBFB"/>
        </w:rPr>
        <w:t xml:space="preserve"> M., 2014, </w:t>
      </w:r>
      <w:r>
        <w:rPr>
          <w:rFonts w:ascii="Times New Roman" w:eastAsia="Times New Roman" w:hAnsi="Times New Roman" w:cs="Times New Roman"/>
          <w:i/>
          <w:color w:val="212529"/>
          <w:shd w:val="clear" w:color="auto" w:fill="FBFBFB"/>
        </w:rPr>
        <w:t>The Houses of Fustat: Beyond Importation and Influence</w:t>
      </w:r>
      <w:r>
        <w:rPr>
          <w:rFonts w:ascii="Times New Roman" w:eastAsia="Times New Roman" w:hAnsi="Times New Roman" w:cs="Times New Roman"/>
          <w:color w:val="212529"/>
          <w:shd w:val="clear" w:color="auto" w:fill="FBFBFB"/>
        </w:rPr>
        <w:t>, Proceedings of the 9th International COngress of the Archaeology of the Ancient Near East: 9th-12th June 2014, University of Base</w:t>
      </w:r>
      <w:r>
        <w:rPr>
          <w:rFonts w:ascii="Times New Roman" w:eastAsia="Times New Roman" w:hAnsi="Times New Roman" w:cs="Times New Roman"/>
          <w:color w:val="212529"/>
          <w:shd w:val="clear" w:color="auto" w:fill="FBFBFB"/>
        </w:rPr>
        <w:t xml:space="preserve">l, Switzerland.    </w:t>
      </w:r>
    </w:p>
    <w:p w14:paraId="00000032" w14:textId="77777777" w:rsidR="0005362F" w:rsidRDefault="00B515AC">
      <w:pPr>
        <w:spacing w:after="200"/>
        <w:ind w:right="100"/>
        <w:jc w:val="both"/>
        <w:rPr>
          <w:rFonts w:ascii="Times New Roman" w:eastAsia="Times New Roman" w:hAnsi="Times New Roman" w:cs="Times New Roman"/>
        </w:rPr>
      </w:pPr>
      <w:r>
        <w:rPr>
          <w:rFonts w:ascii="Times New Roman" w:eastAsia="Times New Roman" w:hAnsi="Times New Roman" w:cs="Times New Roman"/>
          <w:smallCaps/>
        </w:rPr>
        <w:t>LaBianca</w:t>
      </w:r>
      <w:r>
        <w:rPr>
          <w:rFonts w:ascii="Times New Roman" w:eastAsia="Times New Roman" w:hAnsi="Times New Roman" w:cs="Times New Roman"/>
        </w:rPr>
        <w:t>, O. S., 2007, Great and Little Traditions: A Framework for Studying Cultural Interaction through the Ages in Jordan. Berrien Springs, Andrews University Institute of Archaeology, pp. 275-189.</w:t>
      </w:r>
    </w:p>
    <w:p w14:paraId="00000033" w14:textId="77777777" w:rsidR="0005362F" w:rsidRDefault="00B515AC">
      <w:pPr>
        <w:spacing w:after="200"/>
        <w:ind w:right="100"/>
        <w:jc w:val="both"/>
        <w:rPr>
          <w:rFonts w:ascii="Times New Roman" w:eastAsia="Times New Roman" w:hAnsi="Times New Roman" w:cs="Times New Roman"/>
        </w:rPr>
      </w:pPr>
      <w:r>
        <w:rPr>
          <w:rFonts w:ascii="Times New Roman" w:eastAsia="Times New Roman" w:hAnsi="Times New Roman" w:cs="Times New Roman"/>
          <w:smallCaps/>
        </w:rPr>
        <w:t>Lichtenberger</w:t>
      </w:r>
      <w:r>
        <w:rPr>
          <w:rFonts w:ascii="Times New Roman" w:eastAsia="Times New Roman" w:hAnsi="Times New Roman" w:cs="Times New Roman"/>
        </w:rPr>
        <w:t xml:space="preserve"> A., </w:t>
      </w:r>
      <w:r>
        <w:rPr>
          <w:rFonts w:ascii="Times New Roman" w:eastAsia="Times New Roman" w:hAnsi="Times New Roman" w:cs="Times New Roman"/>
          <w:smallCaps/>
        </w:rPr>
        <w:t>Raja</w:t>
      </w:r>
      <w:r>
        <w:rPr>
          <w:rFonts w:ascii="Times New Roman" w:eastAsia="Times New Roman" w:hAnsi="Times New Roman" w:cs="Times New Roman"/>
        </w:rPr>
        <w:t xml:space="preserve"> R., 2015, </w:t>
      </w:r>
      <w:r>
        <w:rPr>
          <w:rFonts w:ascii="Times New Roman" w:eastAsia="Times New Roman" w:hAnsi="Times New Roman" w:cs="Times New Roman"/>
          <w:i/>
        </w:rPr>
        <w:t>Ne</w:t>
      </w:r>
      <w:r>
        <w:rPr>
          <w:rFonts w:ascii="Times New Roman" w:eastAsia="Times New Roman" w:hAnsi="Times New Roman" w:cs="Times New Roman"/>
          <w:i/>
        </w:rPr>
        <w:t>w Archaeological Research in the Northwest Quarter of Jerash and Its Implications for the Urban Development of Roman Gerasa</w:t>
      </w:r>
      <w:r>
        <w:rPr>
          <w:rFonts w:ascii="Times New Roman" w:eastAsia="Times New Roman" w:hAnsi="Times New Roman" w:cs="Times New Roman"/>
        </w:rPr>
        <w:t>, “American Journal of Archaeology”, Vol. 119, No. 4, pp. 483-500.</w:t>
      </w:r>
    </w:p>
    <w:p w14:paraId="00000034" w14:textId="77777777" w:rsidR="0005362F" w:rsidRDefault="00B515AC">
      <w:pPr>
        <w:spacing w:after="200"/>
        <w:jc w:val="both"/>
        <w:rPr>
          <w:rFonts w:ascii="Times New Roman" w:eastAsia="Times New Roman" w:hAnsi="Times New Roman" w:cs="Times New Roman"/>
        </w:rPr>
      </w:pPr>
      <w:r>
        <w:rPr>
          <w:rFonts w:ascii="Times New Roman" w:eastAsia="Times New Roman" w:hAnsi="Times New Roman" w:cs="Times New Roman"/>
          <w:smallCaps/>
        </w:rPr>
        <w:t>Lichtenberger</w:t>
      </w:r>
      <w:r>
        <w:rPr>
          <w:rFonts w:ascii="Times New Roman" w:eastAsia="Times New Roman" w:hAnsi="Times New Roman" w:cs="Times New Roman"/>
        </w:rPr>
        <w:t xml:space="preserve"> A., </w:t>
      </w:r>
      <w:r>
        <w:rPr>
          <w:rFonts w:ascii="Times New Roman" w:eastAsia="Times New Roman" w:hAnsi="Times New Roman" w:cs="Times New Roman"/>
          <w:smallCaps/>
        </w:rPr>
        <w:t>Raja</w:t>
      </w:r>
      <w:r>
        <w:rPr>
          <w:rFonts w:ascii="Times New Roman" w:eastAsia="Times New Roman" w:hAnsi="Times New Roman" w:cs="Times New Roman"/>
        </w:rPr>
        <w:t xml:space="preserve"> R., 2016, A newly excavated private house i</w:t>
      </w:r>
      <w:r>
        <w:rPr>
          <w:rFonts w:ascii="Times New Roman" w:eastAsia="Times New Roman" w:hAnsi="Times New Roman" w:cs="Times New Roman"/>
        </w:rPr>
        <w:t>n Jerash. Reconsidering aspects of continuity and change in material culture from Late Antiquity to the early Islamic period, “Antiquité Tardive” 24/2016 (</w:t>
      </w:r>
      <w:r>
        <w:rPr>
          <w:rFonts w:ascii="Times New Roman" w:eastAsia="Times New Roman" w:hAnsi="Times New Roman" w:cs="Times New Roman"/>
          <w:i/>
        </w:rPr>
        <w:t>Le Voyage Dans L’antiquité Tardive : Réalités Et Images</w:t>
      </w:r>
      <w:r>
        <w:rPr>
          <w:rFonts w:ascii="Times New Roman" w:eastAsia="Times New Roman" w:hAnsi="Times New Roman" w:cs="Times New Roman"/>
        </w:rPr>
        <w:t>), pp. 317-360.</w:t>
      </w:r>
    </w:p>
    <w:p w14:paraId="00000035" w14:textId="77777777" w:rsidR="0005362F" w:rsidRDefault="00B515AC">
      <w:pPr>
        <w:spacing w:after="200" w:line="276" w:lineRule="auto"/>
        <w:jc w:val="both"/>
        <w:rPr>
          <w:rFonts w:ascii="Times New Roman" w:eastAsia="Times New Roman" w:hAnsi="Times New Roman" w:cs="Times New Roman"/>
          <w:highlight w:val="white"/>
        </w:rPr>
      </w:pPr>
      <w:r>
        <w:rPr>
          <w:rFonts w:ascii="Times New Roman" w:eastAsia="Times New Roman" w:hAnsi="Times New Roman" w:cs="Times New Roman"/>
          <w:smallCaps/>
        </w:rPr>
        <w:t>Martinez-Gros</w:t>
      </w:r>
      <w:r>
        <w:rPr>
          <w:rFonts w:ascii="Times New Roman" w:eastAsia="Times New Roman" w:hAnsi="Times New Roman" w:cs="Times New Roman"/>
          <w:highlight w:val="white"/>
        </w:rPr>
        <w:t xml:space="preserve"> G., 2014, </w:t>
      </w:r>
      <w:r>
        <w:rPr>
          <w:rFonts w:ascii="Times New Roman" w:eastAsia="Times New Roman" w:hAnsi="Times New Roman" w:cs="Times New Roman"/>
          <w:i/>
          <w:highlight w:val="white"/>
        </w:rPr>
        <w:t xml:space="preserve">Brève </w:t>
      </w:r>
      <w:r>
        <w:rPr>
          <w:rFonts w:ascii="Times New Roman" w:eastAsia="Times New Roman" w:hAnsi="Times New Roman" w:cs="Times New Roman"/>
          <w:i/>
          <w:highlight w:val="white"/>
        </w:rPr>
        <w:t>histoire des empires. Comment ils surgissent, comment ils s’effondrent</w:t>
      </w:r>
      <w:r>
        <w:rPr>
          <w:rFonts w:ascii="Times New Roman" w:eastAsia="Times New Roman" w:hAnsi="Times New Roman" w:cs="Times New Roman"/>
          <w:highlight w:val="white"/>
        </w:rPr>
        <w:t>, Paris, Seuil.</w:t>
      </w:r>
    </w:p>
    <w:p w14:paraId="00000036" w14:textId="77777777" w:rsidR="0005362F" w:rsidRDefault="00B515AC">
      <w:pPr>
        <w:shd w:val="clear" w:color="auto" w:fill="FFFFFF"/>
        <w:spacing w:after="200"/>
        <w:jc w:val="both"/>
        <w:rPr>
          <w:rFonts w:ascii="Times New Roman" w:eastAsia="Times New Roman" w:hAnsi="Times New Roman" w:cs="Times New Roman"/>
          <w:color w:val="333333"/>
        </w:rPr>
      </w:pPr>
      <w:r>
        <w:rPr>
          <w:rFonts w:ascii="Times New Roman" w:eastAsia="Times New Roman" w:hAnsi="Times New Roman" w:cs="Times New Roman"/>
          <w:smallCaps/>
        </w:rPr>
        <w:t>Northedge</w:t>
      </w:r>
      <w:r>
        <w:rPr>
          <w:rFonts w:ascii="Times New Roman" w:eastAsia="Times New Roman" w:hAnsi="Times New Roman" w:cs="Times New Roman"/>
          <w:color w:val="333333"/>
        </w:rPr>
        <w:t xml:space="preserve"> A. (ed.), 1992, </w:t>
      </w:r>
      <w:r>
        <w:rPr>
          <w:rFonts w:ascii="Times New Roman" w:eastAsia="Times New Roman" w:hAnsi="Times New Roman" w:cs="Times New Roman"/>
          <w:i/>
          <w:color w:val="333333"/>
        </w:rPr>
        <w:t>Studies on Roman and Islamic Amman, Vol. I: The Site and Architecture</w:t>
      </w:r>
      <w:r>
        <w:rPr>
          <w:rFonts w:ascii="Times New Roman" w:eastAsia="Times New Roman" w:hAnsi="Times New Roman" w:cs="Times New Roman"/>
          <w:color w:val="333333"/>
        </w:rPr>
        <w:t>, Oxford.</w:t>
      </w:r>
    </w:p>
    <w:p w14:paraId="00000037" w14:textId="77777777" w:rsidR="0005362F" w:rsidRDefault="00B515AC">
      <w:pPr>
        <w:shd w:val="clear" w:color="auto" w:fill="FFFFFF"/>
        <w:spacing w:after="200" w:line="276" w:lineRule="auto"/>
        <w:jc w:val="both"/>
        <w:rPr>
          <w:rFonts w:ascii="Times New Roman" w:eastAsia="Times New Roman" w:hAnsi="Times New Roman" w:cs="Times New Roman"/>
          <w:color w:val="333333"/>
        </w:rPr>
      </w:pPr>
      <w:r>
        <w:rPr>
          <w:rFonts w:ascii="Times New Roman" w:eastAsia="Times New Roman" w:hAnsi="Times New Roman" w:cs="Times New Roman"/>
          <w:smallCaps/>
        </w:rPr>
        <w:t>Northedge</w:t>
      </w:r>
      <w:r>
        <w:rPr>
          <w:rFonts w:ascii="Times New Roman" w:eastAsia="Times New Roman" w:hAnsi="Times New Roman" w:cs="Times New Roman"/>
          <w:color w:val="333333"/>
        </w:rPr>
        <w:t xml:space="preserve">, A., 2012b, </w:t>
      </w:r>
      <w:r>
        <w:rPr>
          <w:rFonts w:ascii="Times New Roman" w:eastAsia="Times New Roman" w:hAnsi="Times New Roman" w:cs="Times New Roman"/>
          <w:i/>
          <w:color w:val="333333"/>
        </w:rPr>
        <w:t>The contents of the first Muslim houses: Thoughts about assemblages from the Amman Citadel</w:t>
      </w:r>
      <w:r>
        <w:rPr>
          <w:rFonts w:ascii="Times New Roman" w:eastAsia="Times New Roman" w:hAnsi="Times New Roman" w:cs="Times New Roman"/>
          <w:color w:val="333333"/>
        </w:rPr>
        <w:t xml:space="preserve">, in Roger Matthews &amp; John Curtis (eds), </w:t>
      </w:r>
      <w:r>
        <w:rPr>
          <w:rFonts w:ascii="Times New Roman" w:eastAsia="Times New Roman" w:hAnsi="Times New Roman" w:cs="Times New Roman"/>
          <w:i/>
          <w:color w:val="333333"/>
        </w:rPr>
        <w:t>Proceedings of the 7th International Congress on the Archaeology of the Ancient Near East</w:t>
      </w:r>
      <w:r>
        <w:rPr>
          <w:rFonts w:ascii="Times New Roman" w:eastAsia="Times New Roman" w:hAnsi="Times New Roman" w:cs="Times New Roman"/>
          <w:color w:val="333333"/>
        </w:rPr>
        <w:t>, Vol 2, pp. 633-661.</w:t>
      </w:r>
    </w:p>
    <w:p w14:paraId="00000038" w14:textId="77777777" w:rsidR="0005362F" w:rsidRDefault="00B515AC">
      <w:pPr>
        <w:pBdr>
          <w:top w:val="nil"/>
          <w:left w:val="nil"/>
          <w:bottom w:val="nil"/>
          <w:right w:val="nil"/>
          <w:between w:val="nil"/>
        </w:pBdr>
        <w:shd w:val="clear" w:color="auto" w:fill="FFFFFF"/>
        <w:spacing w:after="200" w:line="276" w:lineRule="auto"/>
        <w:jc w:val="both"/>
        <w:rPr>
          <w:rFonts w:ascii="Times New Roman" w:eastAsia="Times New Roman" w:hAnsi="Times New Roman" w:cs="Times New Roman"/>
          <w:color w:val="333333"/>
        </w:rPr>
      </w:pPr>
      <w:r>
        <w:rPr>
          <w:rFonts w:ascii="Times New Roman" w:eastAsia="Times New Roman" w:hAnsi="Times New Roman" w:cs="Times New Roman"/>
          <w:smallCaps/>
        </w:rPr>
        <w:t xml:space="preserve">Nucciotti M., </w:t>
      </w:r>
      <w:r>
        <w:rPr>
          <w:rFonts w:ascii="Times New Roman" w:eastAsia="Times New Roman" w:hAnsi="Times New Roman" w:cs="Times New Roman"/>
          <w:smallCaps/>
        </w:rPr>
        <w:t>Pruno, E</w:t>
      </w:r>
      <w:r>
        <w:rPr>
          <w:rFonts w:ascii="Times New Roman" w:eastAsia="Times New Roman" w:hAnsi="Times New Roman" w:cs="Times New Roman"/>
          <w:color w:val="333333"/>
        </w:rPr>
        <w:t xml:space="preserve">., 2016, </w:t>
      </w:r>
      <w:r>
        <w:rPr>
          <w:rFonts w:ascii="Times New Roman" w:eastAsia="Times New Roman" w:hAnsi="Times New Roman" w:cs="Times New Roman"/>
          <w:i/>
          <w:color w:val="333333"/>
        </w:rPr>
        <w:t>Great and Little Traditions in medieval Petra and Shawbak: contextualizing local building industry and pottery production in 12th-13th centuries</w:t>
      </w:r>
      <w:r>
        <w:rPr>
          <w:rFonts w:ascii="Times New Roman" w:eastAsia="Times New Roman" w:hAnsi="Times New Roman" w:cs="Times New Roman"/>
          <w:color w:val="333333"/>
        </w:rPr>
        <w:t>, “Archeologia Medievale”, XLIII, 2016, pp. 309-320.</w:t>
      </w:r>
    </w:p>
    <w:p w14:paraId="00000039" w14:textId="77777777" w:rsidR="0005362F" w:rsidRDefault="00B515AC">
      <w:pPr>
        <w:pBdr>
          <w:top w:val="nil"/>
          <w:left w:val="nil"/>
          <w:bottom w:val="nil"/>
          <w:right w:val="nil"/>
          <w:between w:val="nil"/>
        </w:pBdr>
        <w:shd w:val="clear" w:color="auto" w:fill="FFFFFF"/>
        <w:spacing w:after="200" w:line="276" w:lineRule="auto"/>
        <w:jc w:val="both"/>
        <w:rPr>
          <w:rFonts w:ascii="Times New Roman" w:eastAsia="Times New Roman" w:hAnsi="Times New Roman" w:cs="Times New Roman"/>
          <w:color w:val="333333"/>
        </w:rPr>
      </w:pPr>
      <w:r>
        <w:rPr>
          <w:rFonts w:ascii="Times New Roman" w:eastAsia="Times New Roman" w:hAnsi="Times New Roman" w:cs="Times New Roman"/>
          <w:smallCaps/>
        </w:rPr>
        <w:t xml:space="preserve">Othman Z. </w:t>
      </w:r>
      <w:r>
        <w:rPr>
          <w:rFonts w:ascii="Times New Roman" w:eastAsia="Times New Roman" w:hAnsi="Times New Roman" w:cs="Times New Roman"/>
          <w:i/>
          <w:highlight w:val="white"/>
        </w:rPr>
        <w:t>et alii</w:t>
      </w:r>
      <w:r>
        <w:rPr>
          <w:rFonts w:ascii="Times New Roman" w:eastAsia="Times New Roman" w:hAnsi="Times New Roman" w:cs="Times New Roman"/>
          <w:highlight w:val="white"/>
        </w:rPr>
        <w:t xml:space="preserve">, 2015, </w:t>
      </w:r>
      <w:r>
        <w:rPr>
          <w:rFonts w:ascii="Times New Roman" w:eastAsia="Times New Roman" w:hAnsi="Times New Roman" w:cs="Times New Roman"/>
          <w:i/>
          <w:highlight w:val="white"/>
        </w:rPr>
        <w:t>Privacy, Modesty,</w:t>
      </w:r>
      <w:r>
        <w:rPr>
          <w:rFonts w:ascii="Times New Roman" w:eastAsia="Times New Roman" w:hAnsi="Times New Roman" w:cs="Times New Roman"/>
          <w:i/>
          <w:highlight w:val="white"/>
        </w:rPr>
        <w:t xml:space="preserve"> Hospitality and the Design of Muslim homes: a Literatury Review</w:t>
      </w:r>
      <w:r>
        <w:rPr>
          <w:rFonts w:ascii="Times New Roman" w:eastAsia="Times New Roman" w:hAnsi="Times New Roman" w:cs="Times New Roman"/>
          <w:highlight w:val="white"/>
        </w:rPr>
        <w:t>, “Frontiers of Architectural research”, 4, pp. 12-23.</w:t>
      </w:r>
    </w:p>
    <w:p w14:paraId="0000003A" w14:textId="77777777" w:rsidR="0005362F" w:rsidRDefault="00B515AC">
      <w:pPr>
        <w:shd w:val="clear" w:color="auto" w:fill="FFFFFF"/>
        <w:spacing w:after="200" w:line="276" w:lineRule="auto"/>
        <w:jc w:val="both"/>
        <w:rPr>
          <w:rFonts w:ascii="Times New Roman" w:eastAsia="Times New Roman" w:hAnsi="Times New Roman" w:cs="Times New Roman"/>
          <w:b/>
        </w:rPr>
      </w:pPr>
      <w:r>
        <w:rPr>
          <w:rFonts w:ascii="Times New Roman" w:eastAsia="Times New Roman" w:hAnsi="Times New Roman" w:cs="Times New Roman"/>
          <w:smallCaps/>
        </w:rPr>
        <w:t>Pini</w:t>
      </w:r>
      <w:r>
        <w:rPr>
          <w:rFonts w:ascii="Times New Roman" w:eastAsia="Times New Roman" w:hAnsi="Times New Roman" w:cs="Times New Roman"/>
        </w:rPr>
        <w:t xml:space="preserve"> N., 2020, </w:t>
      </w:r>
      <w:r>
        <w:rPr>
          <w:rFonts w:ascii="Times New Roman" w:eastAsia="Times New Roman" w:hAnsi="Times New Roman" w:cs="Times New Roman"/>
          <w:i/>
        </w:rPr>
        <w:t>Walls of Identities: Built Environment as a Social Marker</w:t>
      </w:r>
      <w:r>
        <w:rPr>
          <w:rFonts w:ascii="Times New Roman" w:eastAsia="Times New Roman" w:hAnsi="Times New Roman" w:cs="Times New Roman"/>
        </w:rPr>
        <w:t xml:space="preserve">, in Walker B. and al-Ghouz A. (eds), </w:t>
      </w:r>
      <w:r>
        <w:rPr>
          <w:rFonts w:ascii="Times New Roman" w:eastAsia="Times New Roman" w:hAnsi="Times New Roman" w:cs="Times New Roman"/>
          <w:i/>
        </w:rPr>
        <w:t>Living with Nature and Thin</w:t>
      </w:r>
      <w:r>
        <w:rPr>
          <w:rFonts w:ascii="Times New Roman" w:eastAsia="Times New Roman" w:hAnsi="Times New Roman" w:cs="Times New Roman"/>
          <w:i/>
        </w:rPr>
        <w:t>gs</w:t>
      </w:r>
      <w:r>
        <w:rPr>
          <w:rFonts w:ascii="Times New Roman" w:eastAsia="Times New Roman" w:hAnsi="Times New Roman" w:cs="Times New Roman"/>
        </w:rPr>
        <w:t>, Bonn University Press, pp. 375-399.</w:t>
      </w:r>
    </w:p>
    <w:p w14:paraId="0000003B" w14:textId="77777777" w:rsidR="0005362F" w:rsidRDefault="00B515AC">
      <w:pPr>
        <w:spacing w:after="200" w:line="256" w:lineRule="auto"/>
        <w:jc w:val="both"/>
        <w:rPr>
          <w:rFonts w:ascii="Times New Roman" w:eastAsia="Times New Roman" w:hAnsi="Times New Roman" w:cs="Times New Roman"/>
        </w:rPr>
      </w:pPr>
      <w:r>
        <w:rPr>
          <w:rFonts w:ascii="Times New Roman" w:eastAsia="Times New Roman" w:hAnsi="Times New Roman" w:cs="Times New Roman"/>
          <w:smallCaps/>
        </w:rPr>
        <w:t>Pradines</w:t>
      </w:r>
      <w:r>
        <w:rPr>
          <w:rFonts w:ascii="Times New Roman" w:eastAsia="Times New Roman" w:hAnsi="Times New Roman" w:cs="Times New Roman"/>
          <w:highlight w:val="white"/>
        </w:rPr>
        <w:t xml:space="preserve">, S. </w:t>
      </w:r>
      <w:r>
        <w:rPr>
          <w:rFonts w:ascii="Times New Roman" w:eastAsia="Times New Roman" w:hAnsi="Times New Roman" w:cs="Times New Roman"/>
          <w:i/>
          <w:highlight w:val="white"/>
        </w:rPr>
        <w:t>et alii</w:t>
      </w:r>
      <w:r>
        <w:rPr>
          <w:rFonts w:ascii="Times New Roman" w:eastAsia="Times New Roman" w:hAnsi="Times New Roman" w:cs="Times New Roman"/>
          <w:highlight w:val="white"/>
        </w:rPr>
        <w:t>, 2009</w:t>
      </w:r>
      <w:r>
        <w:rPr>
          <w:rFonts w:ascii="Times New Roman" w:eastAsia="Times New Roman" w:hAnsi="Times New Roman" w:cs="Times New Roman"/>
          <w:i/>
          <w:highlight w:val="white"/>
        </w:rPr>
        <w:t>, Excavations of the archaeological triangle. 10 years of archaeological excavations in Fatimid Cairo (2000-2009)</w:t>
      </w:r>
      <w:r>
        <w:rPr>
          <w:rFonts w:ascii="Times New Roman" w:eastAsia="Times New Roman" w:hAnsi="Times New Roman" w:cs="Times New Roman"/>
          <w:highlight w:val="white"/>
        </w:rPr>
        <w:t>,  “Mishkah”, 4, pp. 177-219.</w:t>
      </w:r>
    </w:p>
    <w:p w14:paraId="0000003C" w14:textId="77777777" w:rsidR="0005362F" w:rsidRDefault="00B515AC">
      <w:pPr>
        <w:spacing w:after="200" w:line="256" w:lineRule="auto"/>
        <w:jc w:val="both"/>
        <w:rPr>
          <w:rFonts w:ascii="Times New Roman" w:eastAsia="Times New Roman" w:hAnsi="Times New Roman" w:cs="Times New Roman"/>
          <w:b/>
        </w:rPr>
      </w:pPr>
      <w:r>
        <w:rPr>
          <w:rFonts w:ascii="Times New Roman" w:eastAsia="Times New Roman" w:hAnsi="Times New Roman" w:cs="Times New Roman"/>
          <w:smallCaps/>
        </w:rPr>
        <w:t>Sheehan</w:t>
      </w:r>
      <w:r>
        <w:rPr>
          <w:rFonts w:ascii="Times New Roman" w:eastAsia="Times New Roman" w:hAnsi="Times New Roman" w:cs="Times New Roman"/>
          <w:highlight w:val="white"/>
        </w:rPr>
        <w:t xml:space="preserve"> P., 2010, </w:t>
      </w:r>
      <w:r>
        <w:rPr>
          <w:rFonts w:ascii="Times New Roman" w:eastAsia="Times New Roman" w:hAnsi="Times New Roman" w:cs="Times New Roman"/>
          <w:i/>
        </w:rPr>
        <w:t>Babylon of Egypt: The Archaeo</w:t>
      </w:r>
      <w:r>
        <w:rPr>
          <w:rFonts w:ascii="Times New Roman" w:eastAsia="Times New Roman" w:hAnsi="Times New Roman" w:cs="Times New Roman"/>
          <w:i/>
        </w:rPr>
        <w:t>logy of Old Cairo and the Origins of the City (Revised Edition)</w:t>
      </w:r>
      <w:r>
        <w:rPr>
          <w:rFonts w:ascii="Times New Roman" w:eastAsia="Times New Roman" w:hAnsi="Times New Roman" w:cs="Times New Roman"/>
        </w:rPr>
        <w:t>,</w:t>
      </w:r>
      <w:hyperlink r:id="rId8">
        <w:r>
          <w:rPr>
            <w:rFonts w:ascii="Times New Roman" w:eastAsia="Times New Roman" w:hAnsi="Times New Roman" w:cs="Times New Roman"/>
          </w:rPr>
          <w:t xml:space="preserve"> </w:t>
        </w:r>
      </w:hyperlink>
      <w:hyperlink r:id="rId9">
        <w:r>
          <w:rPr>
            <w:rFonts w:ascii="Times New Roman" w:eastAsia="Times New Roman" w:hAnsi="Times New Roman" w:cs="Times New Roman"/>
            <w:highlight w:val="white"/>
          </w:rPr>
          <w:t>American University in Cairo Press</w:t>
        </w:r>
      </w:hyperlink>
      <w:r>
        <w:rPr>
          <w:rFonts w:ascii="Times New Roman" w:eastAsia="Times New Roman" w:hAnsi="Times New Roman" w:cs="Times New Roman"/>
        </w:rPr>
        <w:t>.</w:t>
      </w:r>
    </w:p>
    <w:p w14:paraId="0000003D" w14:textId="77777777" w:rsidR="0005362F" w:rsidRDefault="00B515AC">
      <w:pPr>
        <w:spacing w:before="240" w:after="200"/>
        <w:jc w:val="both"/>
        <w:rPr>
          <w:rFonts w:ascii="Times New Roman" w:eastAsia="Times New Roman" w:hAnsi="Times New Roman" w:cs="Times New Roman"/>
        </w:rPr>
      </w:pPr>
      <w:r>
        <w:rPr>
          <w:rFonts w:ascii="Times New Roman" w:eastAsia="Times New Roman" w:hAnsi="Times New Roman" w:cs="Times New Roman"/>
          <w:smallCaps/>
        </w:rPr>
        <w:t>Kennedy</w:t>
      </w:r>
      <w:r>
        <w:rPr>
          <w:rFonts w:ascii="Times New Roman" w:eastAsia="Times New Roman" w:hAnsi="Times New Roman" w:cs="Times New Roman"/>
        </w:rPr>
        <w:t xml:space="preserve"> 2001 (ed. cit. 2010), </w:t>
      </w:r>
      <w:r>
        <w:rPr>
          <w:rFonts w:ascii="Times New Roman" w:eastAsia="Times New Roman" w:hAnsi="Times New Roman" w:cs="Times New Roman"/>
          <w:i/>
        </w:rPr>
        <w:t>Gli eserciti dei califfi. Militari e società nello stato islamico delle origini</w:t>
      </w:r>
      <w:r>
        <w:rPr>
          <w:rFonts w:ascii="Times New Roman" w:eastAsia="Times New Roman" w:hAnsi="Times New Roman" w:cs="Times New Roman"/>
        </w:rPr>
        <w:t>, Gorizia.</w:t>
      </w:r>
    </w:p>
    <w:p w14:paraId="0000003E" w14:textId="77777777" w:rsidR="0005362F" w:rsidRDefault="00B515AC">
      <w:pPr>
        <w:spacing w:after="200"/>
        <w:jc w:val="both"/>
        <w:rPr>
          <w:rFonts w:ascii="Times New Roman" w:eastAsia="Times New Roman" w:hAnsi="Times New Roman" w:cs="Times New Roman"/>
          <w:color w:val="181817"/>
          <w:highlight w:val="white"/>
        </w:rPr>
      </w:pPr>
      <w:r>
        <w:rPr>
          <w:rFonts w:ascii="Times New Roman" w:eastAsia="Times New Roman" w:hAnsi="Times New Roman" w:cs="Times New Roman"/>
          <w:smallCaps/>
        </w:rPr>
        <w:t>Kubiak</w:t>
      </w:r>
      <w:r>
        <w:rPr>
          <w:rFonts w:ascii="Times New Roman" w:eastAsia="Times New Roman" w:hAnsi="Times New Roman" w:cs="Times New Roman"/>
          <w:color w:val="181817"/>
          <w:highlight w:val="white"/>
        </w:rPr>
        <w:t xml:space="preserve"> W. B., 1987,  </w:t>
      </w:r>
      <w:r>
        <w:rPr>
          <w:rFonts w:ascii="Times New Roman" w:eastAsia="Times New Roman" w:hAnsi="Times New Roman" w:cs="Times New Roman"/>
          <w:i/>
          <w:color w:val="181817"/>
          <w:highlight w:val="white"/>
        </w:rPr>
        <w:t>Al-Fustat: Its foundation and early development</w:t>
      </w:r>
      <w:r>
        <w:rPr>
          <w:rFonts w:ascii="Times New Roman" w:eastAsia="Times New Roman" w:hAnsi="Times New Roman" w:cs="Times New Roman"/>
          <w:color w:val="181817"/>
          <w:highlight w:val="white"/>
        </w:rPr>
        <w:t xml:space="preserve">, “Bulletin of the School of Oriental and African Studies”, </w:t>
      </w:r>
      <w:r>
        <w:rPr>
          <w:rFonts w:ascii="Times New Roman" w:eastAsia="Times New Roman" w:hAnsi="Times New Roman" w:cs="Times New Roman"/>
          <w:i/>
          <w:color w:val="181817"/>
          <w:highlight w:val="white"/>
        </w:rPr>
        <w:t>54</w:t>
      </w:r>
      <w:r>
        <w:rPr>
          <w:rFonts w:ascii="Times New Roman" w:eastAsia="Times New Roman" w:hAnsi="Times New Roman" w:cs="Times New Roman"/>
          <w:color w:val="181817"/>
          <w:highlight w:val="white"/>
        </w:rPr>
        <w:t>(1), pp. 151-</w:t>
      </w:r>
      <w:r>
        <w:rPr>
          <w:rFonts w:ascii="Times New Roman" w:eastAsia="Times New Roman" w:hAnsi="Times New Roman" w:cs="Times New Roman"/>
          <w:color w:val="181817"/>
          <w:highlight w:val="white"/>
        </w:rPr>
        <w:t xml:space="preserve">153. </w:t>
      </w:r>
    </w:p>
    <w:p w14:paraId="0000003F" w14:textId="77777777" w:rsidR="0005362F" w:rsidRDefault="00B515AC">
      <w:pPr>
        <w:spacing w:after="200"/>
        <w:jc w:val="both"/>
        <w:rPr>
          <w:rFonts w:ascii="Times New Roman" w:eastAsia="Times New Roman" w:hAnsi="Times New Roman" w:cs="Times New Roman"/>
          <w:color w:val="181817"/>
          <w:highlight w:val="white"/>
        </w:rPr>
      </w:pPr>
      <w:r>
        <w:rPr>
          <w:rFonts w:ascii="Times New Roman" w:eastAsia="Times New Roman" w:hAnsi="Times New Roman" w:cs="Times New Roman"/>
          <w:smallCaps/>
        </w:rPr>
        <w:t>Kubiak</w:t>
      </w:r>
      <w:r>
        <w:rPr>
          <w:rFonts w:ascii="Times New Roman" w:eastAsia="Times New Roman" w:hAnsi="Times New Roman" w:cs="Times New Roman"/>
          <w:color w:val="181817"/>
          <w:highlight w:val="white"/>
        </w:rPr>
        <w:t xml:space="preserve"> W. B., </w:t>
      </w:r>
      <w:r>
        <w:rPr>
          <w:rFonts w:ascii="Times New Roman" w:eastAsia="Times New Roman" w:hAnsi="Times New Roman" w:cs="Times New Roman"/>
          <w:smallCaps/>
        </w:rPr>
        <w:t>Scanlon</w:t>
      </w:r>
      <w:r>
        <w:rPr>
          <w:rFonts w:ascii="Times New Roman" w:eastAsia="Times New Roman" w:hAnsi="Times New Roman" w:cs="Times New Roman"/>
          <w:color w:val="181817"/>
          <w:highlight w:val="white"/>
        </w:rPr>
        <w:t xml:space="preserve"> G.T., 1989, Fustat Expedition Final Report. Vol. 2, Winona Lake. </w:t>
      </w:r>
    </w:p>
    <w:p w14:paraId="00000040" w14:textId="77777777" w:rsidR="0005362F" w:rsidRDefault="00B515AC">
      <w:pPr>
        <w:pBdr>
          <w:top w:val="nil"/>
          <w:left w:val="nil"/>
          <w:bottom w:val="nil"/>
          <w:right w:val="nil"/>
          <w:between w:val="nil"/>
        </w:pBdr>
        <w:spacing w:after="200"/>
        <w:jc w:val="both"/>
        <w:rPr>
          <w:rFonts w:ascii="Times New Roman" w:eastAsia="Times New Roman" w:hAnsi="Times New Roman" w:cs="Times New Roman"/>
          <w:color w:val="181817"/>
          <w:highlight w:val="white"/>
        </w:rPr>
      </w:pPr>
      <w:r>
        <w:rPr>
          <w:rFonts w:ascii="Times New Roman" w:eastAsia="Times New Roman" w:hAnsi="Times New Roman" w:cs="Times New Roman"/>
          <w:color w:val="181817"/>
          <w:highlight w:val="white"/>
        </w:rPr>
        <w:t xml:space="preserve">G. </w:t>
      </w:r>
      <w:r>
        <w:rPr>
          <w:rFonts w:ascii="Times New Roman" w:eastAsia="Times New Roman" w:hAnsi="Times New Roman" w:cs="Times New Roman"/>
          <w:smallCaps/>
        </w:rPr>
        <w:t>Vannini</w:t>
      </w:r>
      <w:r>
        <w:rPr>
          <w:rFonts w:ascii="Times New Roman" w:eastAsia="Times New Roman" w:hAnsi="Times New Roman" w:cs="Times New Roman"/>
          <w:color w:val="181817"/>
          <w:highlight w:val="white"/>
        </w:rPr>
        <w:t xml:space="preserve">, 2020, </w:t>
      </w:r>
      <w:r>
        <w:rPr>
          <w:rFonts w:ascii="Times New Roman" w:eastAsia="Times New Roman" w:hAnsi="Times New Roman" w:cs="Times New Roman"/>
          <w:i/>
          <w:color w:val="181817"/>
          <w:highlight w:val="white"/>
        </w:rPr>
        <w:t>Al-Jaya Palace and the New Shawbak Town. A Medieval frontier and the return of the urbanism in the Southern Transjordan</w:t>
      </w:r>
      <w:r>
        <w:rPr>
          <w:rFonts w:ascii="Times New Roman" w:eastAsia="Times New Roman" w:hAnsi="Times New Roman" w:cs="Times New Roman"/>
          <w:color w:val="181817"/>
          <w:highlight w:val="white"/>
        </w:rPr>
        <w:t>, “Studies in Ancient Art</w:t>
      </w:r>
      <w:r>
        <w:rPr>
          <w:rFonts w:ascii="Times New Roman" w:eastAsia="Times New Roman" w:hAnsi="Times New Roman" w:cs="Times New Roman"/>
          <w:color w:val="181817"/>
          <w:highlight w:val="white"/>
        </w:rPr>
        <w:t xml:space="preserve"> and Civilization”, 24/2020, pp. 83-108.</w:t>
      </w:r>
    </w:p>
    <w:p w14:paraId="00000041" w14:textId="77777777" w:rsidR="0005362F" w:rsidRDefault="00B515AC">
      <w:pPr>
        <w:pBdr>
          <w:top w:val="nil"/>
          <w:left w:val="nil"/>
          <w:bottom w:val="nil"/>
          <w:right w:val="nil"/>
          <w:between w:val="nil"/>
        </w:pBdr>
        <w:spacing w:after="200"/>
        <w:jc w:val="both"/>
        <w:rPr>
          <w:rFonts w:ascii="Arial" w:eastAsia="Arial" w:hAnsi="Arial" w:cs="Arial"/>
          <w:sz w:val="22"/>
          <w:szCs w:val="22"/>
        </w:rPr>
      </w:pPr>
      <w:r>
        <w:rPr>
          <w:rFonts w:ascii="Times New Roman" w:eastAsia="Times New Roman" w:hAnsi="Times New Roman" w:cs="Times New Roman"/>
          <w:smallCaps/>
        </w:rPr>
        <w:t>Withcomb</w:t>
      </w:r>
      <w:r>
        <w:rPr>
          <w:rFonts w:ascii="Times New Roman" w:eastAsia="Times New Roman" w:hAnsi="Times New Roman" w:cs="Times New Roman"/>
          <w:color w:val="181817"/>
          <w:highlight w:val="white"/>
        </w:rPr>
        <w:t xml:space="preserve">, D., 2010, </w:t>
      </w:r>
      <w:r>
        <w:rPr>
          <w:rFonts w:ascii="Times New Roman" w:eastAsia="Times New Roman" w:hAnsi="Times New Roman" w:cs="Times New Roman"/>
          <w:i/>
          <w:color w:val="181817"/>
          <w:highlight w:val="white"/>
        </w:rPr>
        <w:t>An Umayyad legacy for the early Islamic city: Fusṭāṭ and the experience of Egypt</w:t>
      </w:r>
      <w:r>
        <w:rPr>
          <w:rFonts w:ascii="Times New Roman" w:eastAsia="Times New Roman" w:hAnsi="Times New Roman" w:cs="Times New Roman"/>
          <w:color w:val="181817"/>
          <w:highlight w:val="white"/>
        </w:rPr>
        <w:t xml:space="preserve">, in </w:t>
      </w:r>
      <w:hyperlink r:id="rId10">
        <w:r>
          <w:rPr>
            <w:rFonts w:ascii="Times New Roman" w:eastAsia="Times New Roman" w:hAnsi="Times New Roman" w:cs="Times New Roman"/>
            <w:color w:val="181817"/>
            <w:highlight w:val="white"/>
          </w:rPr>
          <w:t xml:space="preserve">A. </w:t>
        </w:r>
      </w:hyperlink>
      <w:hyperlink r:id="rId11">
        <w:r>
          <w:rPr>
            <w:rFonts w:ascii="Times New Roman" w:eastAsia="Times New Roman" w:hAnsi="Times New Roman" w:cs="Times New Roman"/>
            <w:smallCaps/>
          </w:rPr>
          <w:t>Borrut</w:t>
        </w:r>
      </w:hyperlink>
      <w:r>
        <w:t xml:space="preserve">, </w:t>
      </w:r>
      <w:hyperlink r:id="rId12">
        <w:r>
          <w:rPr>
            <w:rFonts w:ascii="Times New Roman" w:eastAsia="Times New Roman" w:hAnsi="Times New Roman" w:cs="Times New Roman"/>
            <w:color w:val="181817"/>
            <w:highlight w:val="white"/>
          </w:rPr>
          <w:t xml:space="preserve">P. M. </w:t>
        </w:r>
      </w:hyperlink>
      <w:hyperlink r:id="rId13">
        <w:r>
          <w:rPr>
            <w:rFonts w:ascii="Times New Roman" w:eastAsia="Times New Roman" w:hAnsi="Times New Roman" w:cs="Times New Roman"/>
            <w:smallCaps/>
          </w:rPr>
          <w:t>Cobb</w:t>
        </w:r>
      </w:hyperlink>
      <w:r>
        <w:rPr>
          <w:rFonts w:ascii="Times New Roman" w:eastAsia="Times New Roman" w:hAnsi="Times New Roman" w:cs="Times New Roman"/>
          <w:color w:val="181817"/>
          <w:highlight w:val="white"/>
        </w:rPr>
        <w:t xml:space="preserve"> (a cura di), </w:t>
      </w:r>
      <w:r>
        <w:rPr>
          <w:rFonts w:ascii="Times New Roman" w:eastAsia="Times New Roman" w:hAnsi="Times New Roman" w:cs="Times New Roman"/>
          <w:i/>
          <w:color w:val="181817"/>
          <w:highlight w:val="white"/>
        </w:rPr>
        <w:t>Umayyad legacies</w:t>
      </w:r>
      <w:r>
        <w:rPr>
          <w:rFonts w:ascii="Times New Roman" w:eastAsia="Times New Roman" w:hAnsi="Times New Roman" w:cs="Times New Roman"/>
          <w:color w:val="181817"/>
          <w:highlight w:val="white"/>
        </w:rPr>
        <w:t>, Leiden (NL), pp. 403-417.</w:t>
      </w:r>
    </w:p>
    <w:sectPr w:rsidR="0005362F">
      <w:pgSz w:w="11900" w:h="16840"/>
      <w:pgMar w:top="1417" w:right="1134" w:bottom="1134" w:left="1134"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A73403"/>
    <w:multiLevelType w:val="multilevel"/>
    <w:tmpl w:val="380447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7F9016DA"/>
    <w:multiLevelType w:val="multilevel"/>
    <w:tmpl w:val="DB2493E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362F"/>
    <w:rsid w:val="0005362F"/>
    <w:rsid w:val="00B515A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A0C5F84-DEAC-43D1-81B3-76563DBF00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rPr>
  </w:style>
  <w:style w:type="paragraph" w:styleId="Titolo5">
    <w:name w:val="heading 5"/>
    <w:basedOn w:val="Normale"/>
    <w:next w:val="Normale"/>
    <w:uiPriority w:val="9"/>
    <w:semiHidden/>
    <w:unhideWhenUsed/>
    <w:qFormat/>
    <w:pPr>
      <w:keepNext/>
      <w:keepLines/>
      <w:spacing w:before="220" w:after="40"/>
      <w:outlineLvl w:val="4"/>
    </w:pPr>
    <w:rPr>
      <w:b/>
      <w:sz w:val="22"/>
      <w:szCs w:val="22"/>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paragraph" w:styleId="NormaleWeb">
    <w:name w:val="Normal (Web)"/>
    <w:basedOn w:val="Normale"/>
    <w:uiPriority w:val="99"/>
    <w:semiHidden/>
    <w:unhideWhenUsed/>
    <w:rsid w:val="00640E8D"/>
    <w:pPr>
      <w:spacing w:before="100" w:beforeAutospacing="1" w:after="100" w:afterAutospacing="1"/>
    </w:pPr>
    <w:rPr>
      <w:rFonts w:ascii="Times New Roman" w:hAnsi="Times New Roman" w:cs="Times New Roman"/>
    </w:rPr>
  </w:style>
  <w:style w:type="character" w:customStyle="1" w:styleId="apple-tab-span">
    <w:name w:val="apple-tab-span"/>
    <w:basedOn w:val="Carpredefinitoparagrafo"/>
    <w:rsid w:val="00640E8D"/>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jstor.org/publisher/aupcairo" TargetMode="External"/><Relationship Id="rId13" Type="http://schemas.openxmlformats.org/officeDocument/2006/relationships/hyperlink" Target="https://brill.com/search?f_0=author&amp;q_0=Paul+M.+Cobb" TargetMode="External"/><Relationship Id="rId3" Type="http://schemas.openxmlformats.org/officeDocument/2006/relationships/styles" Target="styles.xml"/><Relationship Id="rId7" Type="http://schemas.openxmlformats.org/officeDocument/2006/relationships/hyperlink" Target="mailto:elisa.pruno@unifi.it" TargetMode="External"/><Relationship Id="rId12" Type="http://schemas.openxmlformats.org/officeDocument/2006/relationships/hyperlink" Target="https://brill.com/search?f_0=author&amp;q_0=Paul+M.+Cobb"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michele.nucciotti@unifi.it" TargetMode="External"/><Relationship Id="rId11" Type="http://schemas.openxmlformats.org/officeDocument/2006/relationships/hyperlink" Target="https://brill.com/search?f_0=author&amp;q_0=Antoine+Borru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brill.com/search?f_0=author&amp;q_0=Antoine+Borrut" TargetMode="External"/><Relationship Id="rId4" Type="http://schemas.openxmlformats.org/officeDocument/2006/relationships/settings" Target="settings.xml"/><Relationship Id="rId9" Type="http://schemas.openxmlformats.org/officeDocument/2006/relationships/hyperlink" Target="https://www.jstor.org/publisher/aupcairo"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Iyz8VjMRwwQ9Ji2l743o00D9xxw==">AMUW2mXlxK8xTTT0a9eGGhErQjX/GX1Tov0COWr6jtDscCN/Ut75H1an9/LtmbdRSAH31AqL1BfkPe8IRrlfubKs+wdE+XTWJxaacH7kr/OKJ/R0Vt5GjPWaTzC8BvTQmtAhyyI8eBibm2akaIZfPTE2vC0ExjODbVjNJoIcxcCKDARaGF/X6uA=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4004</Words>
  <Characters>22824</Characters>
  <Application>Microsoft Office Word</Application>
  <DocSecurity>0</DocSecurity>
  <Lines>190</Lines>
  <Paragraphs>53</Paragraphs>
  <ScaleCrop>false</ScaleCrop>
  <Company/>
  <LinksUpToDate>false</LinksUpToDate>
  <CharactersWithSpaces>26775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 di Microsoft Office</dc:creator>
  <cp:lastModifiedBy>Michele Nucciotti</cp:lastModifiedBy>
  <cp:revision>2</cp:revision>
  <dcterms:created xsi:type="dcterms:W3CDTF">2022-01-14T10:41:00Z</dcterms:created>
  <dcterms:modified xsi:type="dcterms:W3CDTF">2022-01-14T10:41:00Z</dcterms:modified>
</cp:coreProperties>
</file>