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ACEA80" w14:textId="77777777" w:rsidR="00DD2D8F" w:rsidRDefault="00DD2D8F" w:rsidP="00DD2D8F">
      <w:pPr>
        <w:rPr>
          <w:rFonts w:ascii="Arial" w:hAnsi="Arial" w:cs="Arial"/>
          <w:b/>
          <w:bCs/>
          <w:sz w:val="28"/>
          <w:szCs w:val="28"/>
          <w:lang w:val="en-GB"/>
        </w:rPr>
      </w:pPr>
      <w:r w:rsidRPr="00CB58AE">
        <w:rPr>
          <w:rFonts w:ascii="Arial" w:hAnsi="Arial" w:cs="Arial"/>
          <w:b/>
          <w:bCs/>
          <w:sz w:val="28"/>
          <w:szCs w:val="28"/>
          <w:lang w:val="en-GB"/>
        </w:rPr>
        <w:t xml:space="preserve">BOLA2 </w:t>
      </w:r>
      <w:r>
        <w:rPr>
          <w:rFonts w:ascii="Arial" w:hAnsi="Arial" w:cs="Arial"/>
          <w:b/>
          <w:bCs/>
          <w:sz w:val="28"/>
          <w:szCs w:val="28"/>
          <w:lang w:val="en-GB"/>
        </w:rPr>
        <w:t>AND</w:t>
      </w:r>
      <w:r w:rsidRPr="00CB58AE">
        <w:rPr>
          <w:rFonts w:ascii="Arial" w:hAnsi="Arial" w:cs="Arial"/>
          <w:b/>
          <w:bCs/>
          <w:sz w:val="28"/>
          <w:szCs w:val="28"/>
          <w:lang w:val="en-GB"/>
        </w:rPr>
        <w:t xml:space="preserve"> GLRX3: </w:t>
      </w:r>
      <w:r>
        <w:rPr>
          <w:rFonts w:ascii="Arial" w:hAnsi="Arial" w:cs="Arial"/>
          <w:b/>
          <w:bCs/>
          <w:sz w:val="28"/>
          <w:szCs w:val="28"/>
          <w:lang w:val="en-GB"/>
        </w:rPr>
        <w:t>KEYPLAYERS</w:t>
      </w:r>
      <w:r w:rsidRPr="00CB58AE">
        <w:rPr>
          <w:rFonts w:ascii="Arial" w:hAnsi="Arial" w:cs="Arial"/>
          <w:b/>
          <w:bCs/>
          <w:sz w:val="28"/>
          <w:szCs w:val="28"/>
          <w:lang w:val="en-GB"/>
        </w:rPr>
        <w:t xml:space="preserve"> </w:t>
      </w:r>
      <w:r>
        <w:rPr>
          <w:rFonts w:ascii="Arial" w:hAnsi="Arial" w:cs="Arial"/>
          <w:b/>
          <w:bCs/>
          <w:sz w:val="28"/>
          <w:szCs w:val="28"/>
          <w:lang w:val="en-GB"/>
        </w:rPr>
        <w:t>IN HUMAN CYTOSOLIC</w:t>
      </w:r>
      <w:r w:rsidRPr="00CB58AE">
        <w:rPr>
          <w:rFonts w:ascii="Arial" w:hAnsi="Arial" w:cs="Arial"/>
          <w:b/>
          <w:bCs/>
          <w:sz w:val="28"/>
          <w:szCs w:val="28"/>
          <w:lang w:val="en-GB"/>
        </w:rPr>
        <w:t xml:space="preserve"> [4Fe-4S] C</w:t>
      </w:r>
      <w:r>
        <w:rPr>
          <w:rFonts w:ascii="Arial" w:hAnsi="Arial" w:cs="Arial"/>
          <w:b/>
          <w:bCs/>
          <w:sz w:val="28"/>
          <w:szCs w:val="28"/>
          <w:lang w:val="en-GB"/>
        </w:rPr>
        <w:t>LUSTER ASSEMBLY</w:t>
      </w:r>
    </w:p>
    <w:p w14:paraId="00AD00D4" w14:textId="77777777" w:rsidR="00DD2D8F" w:rsidRPr="000167C2" w:rsidRDefault="00DD2D8F" w:rsidP="00DD2D8F">
      <w:pPr>
        <w:rPr>
          <w:rFonts w:ascii="Arial" w:hAnsi="Arial" w:cs="Arial"/>
          <w:b/>
          <w:bCs/>
          <w:lang w:val="en-GB"/>
        </w:rPr>
      </w:pPr>
    </w:p>
    <w:p w14:paraId="080584B5" w14:textId="2546794A" w:rsidR="00DD2D8F" w:rsidRPr="000167C2" w:rsidRDefault="00DD2D8F" w:rsidP="00DD2D8F">
      <w:pPr>
        <w:rPr>
          <w:rFonts w:ascii="Arial" w:hAnsi="Arial" w:cs="Arial"/>
        </w:rPr>
      </w:pPr>
      <w:r w:rsidRPr="000167C2">
        <w:rPr>
          <w:rFonts w:ascii="Arial" w:hAnsi="Arial" w:cs="Arial"/>
          <w:iCs/>
          <w:u w:val="single"/>
        </w:rPr>
        <w:t>Martina Masini</w:t>
      </w:r>
      <w:r w:rsidRPr="000167C2">
        <w:rPr>
          <w:rFonts w:ascii="Arial" w:hAnsi="Arial" w:cs="Arial"/>
          <w:iCs/>
          <w:vertAlign w:val="superscript"/>
        </w:rPr>
        <w:t>1</w:t>
      </w:r>
      <w:r w:rsidRPr="000167C2">
        <w:rPr>
          <w:rFonts w:ascii="Arial" w:hAnsi="Arial" w:cs="Arial"/>
          <w:iCs/>
        </w:rPr>
        <w:t>, Francesca Camponeschi</w:t>
      </w:r>
      <w:r w:rsidRPr="000167C2">
        <w:rPr>
          <w:rFonts w:ascii="Arial" w:hAnsi="Arial" w:cs="Arial"/>
          <w:iCs/>
          <w:vertAlign w:val="superscript"/>
        </w:rPr>
        <w:t>1,2,3</w:t>
      </w:r>
      <w:r w:rsidRPr="000167C2">
        <w:rPr>
          <w:rFonts w:ascii="Arial" w:hAnsi="Arial" w:cs="Arial"/>
          <w:iCs/>
        </w:rPr>
        <w:t>, Lucia Banci</w:t>
      </w:r>
      <w:r w:rsidRPr="000167C2">
        <w:rPr>
          <w:rFonts w:ascii="Arial" w:hAnsi="Arial" w:cs="Arial"/>
          <w:iCs/>
          <w:vertAlign w:val="superscript"/>
        </w:rPr>
        <w:t>1,2,3</w:t>
      </w:r>
    </w:p>
    <w:p w14:paraId="56C0D65E" w14:textId="77777777" w:rsidR="00DD2D8F" w:rsidRPr="000167C2" w:rsidRDefault="00DD2D8F" w:rsidP="00DD2D8F">
      <w:pPr>
        <w:rPr>
          <w:rFonts w:ascii="Arial" w:hAnsi="Arial" w:cs="Arial"/>
          <w:b/>
          <w:bCs/>
          <w:i/>
          <w:iCs/>
        </w:rPr>
      </w:pPr>
      <w:r w:rsidRPr="000167C2">
        <w:rPr>
          <w:rFonts w:ascii="Arial" w:hAnsi="Arial" w:cs="Arial"/>
          <w:b/>
          <w:bCs/>
          <w:i/>
          <w:iCs/>
          <w:vertAlign w:val="superscript"/>
        </w:rPr>
        <w:t>1</w:t>
      </w:r>
      <w:r w:rsidRPr="000167C2">
        <w:rPr>
          <w:rFonts w:ascii="Arial" w:hAnsi="Arial" w:cs="Arial"/>
          <w:b/>
          <w:bCs/>
          <w:i/>
          <w:iCs/>
        </w:rPr>
        <w:t xml:space="preserve"> </w:t>
      </w:r>
      <w:r w:rsidRPr="000167C2">
        <w:rPr>
          <w:rFonts w:ascii="Arial" w:hAnsi="Arial" w:cs="Arial"/>
          <w:i/>
          <w:iCs/>
          <w:sz w:val="20"/>
          <w:szCs w:val="20"/>
        </w:rPr>
        <w:t xml:space="preserve">Magnetic Resonance Center CERM, University of Florence, Via L. Sacconi 6, 50019 Sesto Fiorentino, Florence, Italy; </w:t>
      </w:r>
      <w:r w:rsidRPr="000167C2">
        <w:rPr>
          <w:rFonts w:ascii="Arial" w:hAnsi="Arial" w:cs="Arial"/>
          <w:i/>
          <w:iCs/>
          <w:sz w:val="20"/>
          <w:szCs w:val="20"/>
          <w:vertAlign w:val="superscript"/>
        </w:rPr>
        <w:t>2</w:t>
      </w:r>
      <w:r w:rsidRPr="000167C2">
        <w:rPr>
          <w:rFonts w:ascii="Arial" w:hAnsi="Arial" w:cs="Arial"/>
          <w:i/>
          <w:iCs/>
          <w:sz w:val="20"/>
          <w:szCs w:val="20"/>
        </w:rPr>
        <w:t xml:space="preserve"> Consorzio Interuniversitario Risonanze Magnetiche di Metalloproteine (CIRMMP), Via L. Sacconi 6, 50019 Sesto Fiorentino, Florence, Italy; </w:t>
      </w:r>
      <w:r w:rsidRPr="000167C2">
        <w:rPr>
          <w:rFonts w:ascii="Arial" w:hAnsi="Arial" w:cs="Arial"/>
          <w:i/>
          <w:iCs/>
          <w:sz w:val="20"/>
          <w:szCs w:val="20"/>
          <w:vertAlign w:val="superscript"/>
        </w:rPr>
        <w:t>3</w:t>
      </w:r>
      <w:r w:rsidRPr="000167C2">
        <w:rPr>
          <w:rFonts w:ascii="Arial" w:hAnsi="Arial" w:cs="Arial"/>
          <w:i/>
          <w:iCs/>
          <w:sz w:val="20"/>
          <w:szCs w:val="20"/>
        </w:rPr>
        <w:t xml:space="preserve"> Department of Chemistry, University of Florence, Via della Lastruccia 3, 50019 Sesto Fiorentino, Florence, Italy.</w:t>
      </w:r>
    </w:p>
    <w:p w14:paraId="1795533A" w14:textId="55D5D2D9" w:rsidR="00DD2D8F" w:rsidRDefault="00DD2D8F" w:rsidP="00DD2D8F">
      <w:pPr>
        <w:rPr>
          <w:rFonts w:ascii="Arial" w:hAnsi="Arial" w:cs="Arial"/>
          <w:i/>
          <w:iCs/>
          <w:lang w:val="en-GB"/>
        </w:rPr>
      </w:pPr>
      <w:hyperlink r:id="rId4" w:history="1">
        <w:r w:rsidRPr="0080459A">
          <w:rPr>
            <w:rStyle w:val="Collegamentoipertestuale"/>
            <w:rFonts w:ascii="Arial" w:hAnsi="Arial" w:cs="Arial"/>
            <w:i/>
            <w:iCs/>
            <w:color w:val="auto"/>
            <w:u w:val="none"/>
            <w:lang w:val="en-GB"/>
          </w:rPr>
          <w:t>martina.masini1@unifi.it</w:t>
        </w:r>
      </w:hyperlink>
    </w:p>
    <w:p w14:paraId="293075BD" w14:textId="77777777" w:rsidR="003848A6" w:rsidRPr="003848A6" w:rsidRDefault="003848A6" w:rsidP="00DD2D8F">
      <w:pPr>
        <w:rPr>
          <w:rFonts w:ascii="Arial" w:hAnsi="Arial" w:cs="Arial"/>
          <w:i/>
          <w:iCs/>
          <w:lang w:val="en-GB"/>
        </w:rPr>
      </w:pPr>
    </w:p>
    <w:p w14:paraId="29E31E61" w14:textId="1F80A6B1" w:rsidR="001443AF" w:rsidRDefault="001443AF" w:rsidP="001443AF">
      <w:pPr>
        <w:jc w:val="both"/>
        <w:rPr>
          <w:rFonts w:ascii="Arial" w:hAnsi="Arial" w:cs="Arial"/>
          <w:lang w:val="en-GB"/>
        </w:rPr>
      </w:pPr>
      <w:r w:rsidRPr="001443AF">
        <w:rPr>
          <w:rFonts w:ascii="Arial" w:hAnsi="Arial" w:cs="Arial"/>
          <w:lang w:val="en-GB"/>
        </w:rPr>
        <w:t xml:space="preserve">Iron-sulfur (Fe-S) clusters are essential cofactors involved in diverse cellular processes, and their biogenesis is tightly regulated. In humans, Fe-S proteins mature via mitochondrial and cytosolic pathways. The cytosolic iron-sulfur assembly (CIA) machinery promotes [4Fe-4S] cluster formation on NUBP1 and NUBP2 by reductive coupling of two [2Fe-2S] clusters. GLRX3, a monothiol glutaredoxin, has been proposed as a [2Fe-2S] donor in vitro, while electron transfer is mediated by anamorsin and NDOR1. Within cells, GLRX3 forms a heterotrimeric complex with BOLA2, bridged by </w:t>
      </w:r>
      <w:r>
        <w:rPr>
          <w:rFonts w:ascii="Arial" w:hAnsi="Arial" w:cs="Arial"/>
          <w:lang w:val="en-GB"/>
        </w:rPr>
        <w:t xml:space="preserve">two </w:t>
      </w:r>
      <w:r w:rsidRPr="001443AF">
        <w:rPr>
          <w:rFonts w:ascii="Arial" w:hAnsi="Arial" w:cs="Arial"/>
          <w:lang w:val="en-GB"/>
        </w:rPr>
        <w:t>[2Fe-2S] clusters, aiding Fe-S cluster trafficking and maturation. To elucidate the role of the GLRX3-BOLA2 complex in [4Fe-4S] cluster assembly and NUBP1 maturation, we employed a suite of spectroscopic and biochemical techniques. UV-vis absorption spectroscopy was used to monitor Fe-S cluster integrity, while paramagnetic NMR provided direct evidence for [4Fe-4S] cluster formation on NUBP1</w:t>
      </w:r>
      <w:r>
        <w:rPr>
          <w:rFonts w:ascii="Arial" w:hAnsi="Arial" w:cs="Arial"/>
          <w:lang w:val="en-GB"/>
        </w:rPr>
        <w:t>,</w:t>
      </w:r>
      <w:r w:rsidRPr="001443AF">
        <w:rPr>
          <w:rFonts w:ascii="Arial" w:hAnsi="Arial" w:cs="Arial"/>
          <w:lang w:val="en-GB"/>
        </w:rPr>
        <w:t xml:space="preserve"> by detecting four characteristic hyperfine-shifted peaks. Additionally, anaerobic reconstitution assays were conducted to assess the efficiency of cluster assembly under controlled redox conditions. These complementary methods allowed us to dissect the stepwise formation and stabilization of [4Fe-4S] clusters in the cytosol.</w:t>
      </w:r>
    </w:p>
    <w:p w14:paraId="7DB980C3" w14:textId="4321A40F" w:rsidR="00DD2D8F" w:rsidRPr="0080459A" w:rsidRDefault="00DD2D8F" w:rsidP="00DD2D8F">
      <w:pPr>
        <w:rPr>
          <w:rFonts w:ascii="Arial" w:hAnsi="Arial" w:cs="Arial"/>
          <w:sz w:val="20"/>
          <w:szCs w:val="20"/>
        </w:rPr>
      </w:pPr>
      <w:r w:rsidRPr="0080459A">
        <w:rPr>
          <w:rFonts w:ascii="Arial" w:hAnsi="Arial" w:cs="Arial"/>
          <w:lang w:val="en-GB"/>
        </w:rPr>
        <w:br/>
      </w:r>
    </w:p>
    <w:p w14:paraId="064EC02E" w14:textId="1527A3F7" w:rsidR="00021A26" w:rsidRPr="007A77E4" w:rsidRDefault="00021A26">
      <w:pPr>
        <w:rPr>
          <w:rFonts w:ascii="Arial" w:hAnsi="Arial" w:cs="Arial"/>
          <w:b/>
          <w:bCs/>
        </w:rPr>
      </w:pPr>
      <w:r w:rsidRPr="003D64D0">
        <w:rPr>
          <w:rFonts w:ascii="Arial" w:hAnsi="Arial" w:cs="Arial"/>
          <w:b/>
          <w:bCs/>
          <w:lang w:val="en-GB"/>
        </w:rPr>
        <w:t>ROLE OF THE ABSTRACT CO-AUTHORS</w:t>
      </w:r>
    </w:p>
    <w:p w14:paraId="4F2FD9A1" w14:textId="77777777" w:rsidR="003D64D0" w:rsidRPr="003D64D0" w:rsidRDefault="003D64D0">
      <w:pPr>
        <w:rPr>
          <w:rFonts w:ascii="Arial" w:hAnsi="Arial" w:cs="Arial"/>
          <w:b/>
          <w:bCs/>
          <w:lang w:val="en-GB"/>
        </w:rPr>
      </w:pPr>
    </w:p>
    <w:p w14:paraId="6017D313" w14:textId="07F9B2D2" w:rsidR="00021A26" w:rsidRPr="003D64D0" w:rsidRDefault="003D64D0">
      <w:pPr>
        <w:rPr>
          <w:rFonts w:ascii="Arial" w:hAnsi="Arial" w:cs="Arial"/>
          <w:lang w:val="en-GB"/>
        </w:rPr>
      </w:pPr>
      <w:r w:rsidRPr="003D64D0">
        <w:rPr>
          <w:rFonts w:ascii="Arial" w:hAnsi="Arial" w:cs="Arial"/>
          <w:b/>
          <w:bCs/>
          <w:lang w:val="en-GB"/>
        </w:rPr>
        <w:t>Lucia Banci</w:t>
      </w:r>
      <w:r w:rsidRPr="003D64D0">
        <w:rPr>
          <w:rFonts w:ascii="Arial" w:hAnsi="Arial" w:cs="Arial"/>
          <w:lang w:val="en-GB"/>
        </w:rPr>
        <w:t>, Professor of Chemistry at the University of Florence, is a leading expert in Structural Biology and biological NMR. She has made significant contributions to understanding metal ion biology and pioneered in-cell NMR for detecting human proteins in living cells at atomic resolution. Her innovative NMR-based approach to vaccine design leverages antigen structures and antibody interactions. A founder and past Director of CERM, she leads the Italian Core Center of Instruct-ERIC and serves on its Executive Committee and Council. She is the project’s supervisor.</w:t>
      </w:r>
    </w:p>
    <w:p w14:paraId="76AA2B5C" w14:textId="6771579D" w:rsidR="003D64D0" w:rsidRPr="003D64D0" w:rsidRDefault="003D64D0" w:rsidP="003D64D0">
      <w:pPr>
        <w:rPr>
          <w:rFonts w:ascii="Arial" w:hAnsi="Arial" w:cs="Arial"/>
          <w:lang w:val="en-GB"/>
        </w:rPr>
      </w:pPr>
      <w:r w:rsidRPr="003D64D0">
        <w:rPr>
          <w:rFonts w:ascii="Arial" w:hAnsi="Arial" w:cs="Arial"/>
          <w:b/>
          <w:bCs/>
          <w:lang w:val="en-GB"/>
        </w:rPr>
        <w:t>Francesca Camponeschi</w:t>
      </w:r>
      <w:r w:rsidRPr="003D64D0">
        <w:rPr>
          <w:rFonts w:ascii="Arial" w:hAnsi="Arial" w:cs="Arial"/>
          <w:lang w:val="en-GB"/>
        </w:rPr>
        <w:t xml:space="preserve"> is a researcher at CERM and a key member of Professor Lucia Banci’s group. She plays a crucial role as the operative supervisor of the project, overseeing its daily activities and ensuring smooth coordination among team members. With her expertise in Structural Biology and NMR techniques, she contributes to advancing research on metal ions in biological systems and the development of innovative approaches</w:t>
      </w:r>
      <w:r w:rsidR="00EB070E">
        <w:rPr>
          <w:rFonts w:ascii="Arial" w:hAnsi="Arial" w:cs="Arial"/>
          <w:lang w:val="en-GB"/>
        </w:rPr>
        <w:t>.</w:t>
      </w:r>
    </w:p>
    <w:sectPr w:rsidR="003D64D0" w:rsidRPr="003D64D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D8F"/>
    <w:rsid w:val="00021A26"/>
    <w:rsid w:val="001443AF"/>
    <w:rsid w:val="00165FDF"/>
    <w:rsid w:val="0031423B"/>
    <w:rsid w:val="003848A6"/>
    <w:rsid w:val="003D64D0"/>
    <w:rsid w:val="00424D2B"/>
    <w:rsid w:val="00472189"/>
    <w:rsid w:val="004947CF"/>
    <w:rsid w:val="00621E56"/>
    <w:rsid w:val="00786961"/>
    <w:rsid w:val="007A77E4"/>
    <w:rsid w:val="00922010"/>
    <w:rsid w:val="00A13126"/>
    <w:rsid w:val="00B1324C"/>
    <w:rsid w:val="00B43537"/>
    <w:rsid w:val="00B536E2"/>
    <w:rsid w:val="00CA15A6"/>
    <w:rsid w:val="00CB2F03"/>
    <w:rsid w:val="00D4749F"/>
    <w:rsid w:val="00D521E2"/>
    <w:rsid w:val="00DD2D8F"/>
    <w:rsid w:val="00E673D3"/>
    <w:rsid w:val="00EB070E"/>
    <w:rsid w:val="00EB0876"/>
    <w:rsid w:val="00EF3076"/>
    <w:rsid w:val="00F250DC"/>
    <w:rsid w:val="00FA61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A2FE1"/>
  <w15:chartTrackingRefBased/>
  <w15:docId w15:val="{445ECCAB-1D1D-46F8-BB83-557B3E20F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D2D8F"/>
  </w:style>
  <w:style w:type="paragraph" w:styleId="Titolo1">
    <w:name w:val="heading 1"/>
    <w:basedOn w:val="Normale"/>
    <w:next w:val="Normale"/>
    <w:link w:val="Titolo1Carattere"/>
    <w:uiPriority w:val="9"/>
    <w:qFormat/>
    <w:rsid w:val="00DD2D8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DD2D8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DD2D8F"/>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DD2D8F"/>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DD2D8F"/>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DD2D8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D2D8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D2D8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D2D8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D2D8F"/>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DD2D8F"/>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DD2D8F"/>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DD2D8F"/>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DD2D8F"/>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DD2D8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D2D8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D2D8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D2D8F"/>
    <w:rPr>
      <w:rFonts w:eastAsiaTheme="majorEastAsia" w:cstheme="majorBidi"/>
      <w:color w:val="272727" w:themeColor="text1" w:themeTint="D8"/>
    </w:rPr>
  </w:style>
  <w:style w:type="paragraph" w:styleId="Titolo">
    <w:name w:val="Title"/>
    <w:basedOn w:val="Normale"/>
    <w:next w:val="Normale"/>
    <w:link w:val="TitoloCarattere"/>
    <w:uiPriority w:val="10"/>
    <w:qFormat/>
    <w:rsid w:val="00DD2D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D2D8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D2D8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D2D8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D2D8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D2D8F"/>
    <w:rPr>
      <w:i/>
      <w:iCs/>
      <w:color w:val="404040" w:themeColor="text1" w:themeTint="BF"/>
    </w:rPr>
  </w:style>
  <w:style w:type="paragraph" w:styleId="Paragrafoelenco">
    <w:name w:val="List Paragraph"/>
    <w:basedOn w:val="Normale"/>
    <w:uiPriority w:val="34"/>
    <w:qFormat/>
    <w:rsid w:val="00DD2D8F"/>
    <w:pPr>
      <w:ind w:left="720"/>
      <w:contextualSpacing/>
    </w:pPr>
  </w:style>
  <w:style w:type="character" w:styleId="Enfasiintensa">
    <w:name w:val="Intense Emphasis"/>
    <w:basedOn w:val="Carpredefinitoparagrafo"/>
    <w:uiPriority w:val="21"/>
    <w:qFormat/>
    <w:rsid w:val="00DD2D8F"/>
    <w:rPr>
      <w:i/>
      <w:iCs/>
      <w:color w:val="2F5496" w:themeColor="accent1" w:themeShade="BF"/>
    </w:rPr>
  </w:style>
  <w:style w:type="paragraph" w:styleId="Citazioneintensa">
    <w:name w:val="Intense Quote"/>
    <w:basedOn w:val="Normale"/>
    <w:next w:val="Normale"/>
    <w:link w:val="CitazioneintensaCarattere"/>
    <w:uiPriority w:val="30"/>
    <w:qFormat/>
    <w:rsid w:val="00DD2D8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DD2D8F"/>
    <w:rPr>
      <w:i/>
      <w:iCs/>
      <w:color w:val="2F5496" w:themeColor="accent1" w:themeShade="BF"/>
    </w:rPr>
  </w:style>
  <w:style w:type="character" w:styleId="Riferimentointenso">
    <w:name w:val="Intense Reference"/>
    <w:basedOn w:val="Carpredefinitoparagrafo"/>
    <w:uiPriority w:val="32"/>
    <w:qFormat/>
    <w:rsid w:val="00DD2D8F"/>
    <w:rPr>
      <w:b/>
      <w:bCs/>
      <w:smallCaps/>
      <w:color w:val="2F5496" w:themeColor="accent1" w:themeShade="BF"/>
      <w:spacing w:val="5"/>
    </w:rPr>
  </w:style>
  <w:style w:type="character" w:styleId="Collegamentoipertestuale">
    <w:name w:val="Hyperlink"/>
    <w:basedOn w:val="Carpredefinitoparagrafo"/>
    <w:uiPriority w:val="99"/>
    <w:unhideWhenUsed/>
    <w:rsid w:val="00DD2D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artina.masini1@unif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1</Pages>
  <Words>437</Words>
  <Characters>2493</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Masini</dc:creator>
  <cp:keywords/>
  <dc:description/>
  <cp:lastModifiedBy>Martina Masini</cp:lastModifiedBy>
  <cp:revision>12</cp:revision>
  <dcterms:created xsi:type="dcterms:W3CDTF">2025-03-11T14:09:00Z</dcterms:created>
  <dcterms:modified xsi:type="dcterms:W3CDTF">2025-03-12T15:39:00Z</dcterms:modified>
</cp:coreProperties>
</file>