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396B87" w14:textId="13CB510D" w:rsidR="00E71B7F" w:rsidRPr="00361047" w:rsidRDefault="00361047" w:rsidP="00361047">
      <w:pPr>
        <w:spacing w:after="0" w:line="240" w:lineRule="auto"/>
        <w:rPr>
          <w:rFonts w:ascii="Times New Roman" w:hAnsi="Times New Roman" w:cs="Times New Roman"/>
          <w:b/>
          <w:color w:val="FF0000"/>
          <w:sz w:val="24"/>
          <w:szCs w:val="24"/>
        </w:rPr>
      </w:pPr>
      <w:r w:rsidRPr="00361047">
        <w:rPr>
          <w:rFonts w:ascii="Times New Roman" w:hAnsi="Times New Roman" w:cs="Times New Roman"/>
          <w:color w:val="FF0000"/>
          <w:sz w:val="24"/>
          <w:szCs w:val="24"/>
          <w:lang w:val="it-IT"/>
        </w:rPr>
        <w:t xml:space="preserve">Chiara </w:t>
      </w:r>
      <w:proofErr w:type="spellStart"/>
      <w:r w:rsidRPr="00361047">
        <w:rPr>
          <w:rFonts w:ascii="Times New Roman" w:hAnsi="Times New Roman" w:cs="Times New Roman"/>
          <w:color w:val="FF0000"/>
          <w:sz w:val="24"/>
          <w:szCs w:val="24"/>
          <w:lang w:val="it-IT"/>
        </w:rPr>
        <w:t>Favilli</w:t>
      </w:r>
      <w:proofErr w:type="spellEnd"/>
      <w:r w:rsidRPr="00361047">
        <w:rPr>
          <w:rFonts w:ascii="Times New Roman" w:hAnsi="Times New Roman" w:cs="Times New Roman"/>
          <w:color w:val="FF0000"/>
          <w:sz w:val="24"/>
          <w:szCs w:val="24"/>
          <w:lang w:val="it-IT"/>
        </w:rPr>
        <w:t>*</w:t>
      </w:r>
    </w:p>
    <w:p w14:paraId="72D7D4DA" w14:textId="3BE3ED41" w:rsidR="004F0754" w:rsidRPr="00080884" w:rsidRDefault="00A26B01" w:rsidP="00361047">
      <w:pPr>
        <w:spacing w:after="0" w:line="240" w:lineRule="auto"/>
        <w:jc w:val="both"/>
        <w:rPr>
          <w:rFonts w:ascii="Times New Roman" w:hAnsi="Times New Roman" w:cs="Times New Roman"/>
          <w:b/>
          <w:color w:val="000000"/>
          <w:sz w:val="24"/>
          <w:szCs w:val="24"/>
          <w:lang w:val="it-IT"/>
        </w:rPr>
      </w:pPr>
      <w:r>
        <w:rPr>
          <w:rFonts w:ascii="Times New Roman" w:hAnsi="Times New Roman" w:cs="Times New Roman"/>
          <w:b/>
          <w:color w:val="000000"/>
          <w:sz w:val="24"/>
          <w:szCs w:val="24"/>
          <w:lang w:val="it-IT"/>
        </w:rPr>
        <w:t>Armonizzazione</w:t>
      </w:r>
      <w:r w:rsidR="00EC510C">
        <w:rPr>
          <w:rFonts w:ascii="Times New Roman" w:hAnsi="Times New Roman" w:cs="Times New Roman"/>
          <w:b/>
          <w:color w:val="000000"/>
          <w:sz w:val="24"/>
          <w:szCs w:val="24"/>
          <w:lang w:val="it-IT"/>
        </w:rPr>
        <w:t xml:space="preserve"> delle legislazioni nazionali</w:t>
      </w:r>
      <w:r>
        <w:rPr>
          <w:rFonts w:ascii="Times New Roman" w:hAnsi="Times New Roman" w:cs="Times New Roman"/>
          <w:b/>
          <w:color w:val="000000"/>
          <w:sz w:val="24"/>
          <w:szCs w:val="24"/>
          <w:lang w:val="it-IT"/>
        </w:rPr>
        <w:t xml:space="preserve"> </w:t>
      </w:r>
      <w:r w:rsidR="00D71A2B">
        <w:rPr>
          <w:rFonts w:ascii="Times New Roman" w:hAnsi="Times New Roman" w:cs="Times New Roman"/>
          <w:b/>
          <w:color w:val="000000"/>
          <w:sz w:val="24"/>
          <w:szCs w:val="24"/>
          <w:lang w:val="it-IT"/>
        </w:rPr>
        <w:t xml:space="preserve">e </w:t>
      </w:r>
      <w:r w:rsidR="00297B93" w:rsidRPr="00080884">
        <w:rPr>
          <w:rFonts w:ascii="Times New Roman" w:hAnsi="Times New Roman" w:cs="Times New Roman"/>
          <w:b/>
          <w:color w:val="000000"/>
          <w:sz w:val="24"/>
          <w:szCs w:val="24"/>
          <w:lang w:val="it-IT"/>
        </w:rPr>
        <w:t>standard di tutela dei diritti fondamentali</w:t>
      </w:r>
      <w:r w:rsidR="00D71A2B">
        <w:rPr>
          <w:rFonts w:ascii="Times New Roman" w:hAnsi="Times New Roman" w:cs="Times New Roman"/>
          <w:b/>
          <w:color w:val="000000"/>
          <w:sz w:val="24"/>
          <w:szCs w:val="24"/>
          <w:lang w:val="it-IT"/>
        </w:rPr>
        <w:t xml:space="preserve">: </w:t>
      </w:r>
      <w:r w:rsidR="00297B93" w:rsidRPr="00080884">
        <w:rPr>
          <w:rFonts w:ascii="Times New Roman" w:hAnsi="Times New Roman" w:cs="Times New Roman"/>
          <w:b/>
          <w:color w:val="000000"/>
          <w:sz w:val="24"/>
          <w:szCs w:val="24"/>
          <w:lang w:val="it-IT"/>
        </w:rPr>
        <w:t>il caso del diritto una tutela giurisdizionale effettiva</w:t>
      </w:r>
      <w:r w:rsidR="003E1B0C" w:rsidRPr="00080884">
        <w:rPr>
          <w:rFonts w:ascii="Times New Roman" w:hAnsi="Times New Roman" w:cs="Times New Roman"/>
          <w:b/>
          <w:color w:val="000000"/>
          <w:sz w:val="24"/>
          <w:szCs w:val="24"/>
          <w:lang w:val="it-IT"/>
        </w:rPr>
        <w:t xml:space="preserve"> </w:t>
      </w:r>
      <w:r w:rsidR="001471C5">
        <w:rPr>
          <w:rFonts w:ascii="Times New Roman" w:hAnsi="Times New Roman" w:cs="Times New Roman"/>
          <w:b/>
          <w:color w:val="000000"/>
          <w:sz w:val="24"/>
          <w:szCs w:val="24"/>
          <w:lang w:val="it-IT"/>
        </w:rPr>
        <w:t>in materia di asilo</w:t>
      </w:r>
    </w:p>
    <w:p w14:paraId="05973CA6" w14:textId="78E16446" w:rsidR="005207CB" w:rsidRPr="00080884" w:rsidRDefault="005207CB" w:rsidP="00806AD2">
      <w:pPr>
        <w:spacing w:after="0" w:line="240" w:lineRule="auto"/>
        <w:jc w:val="center"/>
        <w:rPr>
          <w:rFonts w:ascii="Times New Roman" w:hAnsi="Times New Roman" w:cs="Times New Roman"/>
          <w:b/>
          <w:color w:val="000000"/>
          <w:sz w:val="24"/>
          <w:szCs w:val="24"/>
          <w:lang w:val="it-IT"/>
        </w:rPr>
      </w:pPr>
    </w:p>
    <w:p w14:paraId="72D7D4DB" w14:textId="77777777" w:rsidR="007872FE" w:rsidRPr="00080884" w:rsidRDefault="007872FE" w:rsidP="00806AD2">
      <w:pPr>
        <w:pStyle w:val="Titolosommario"/>
        <w:spacing w:before="0" w:line="240" w:lineRule="auto"/>
        <w:rPr>
          <w:rFonts w:ascii="Times New Roman" w:eastAsia="Times New Roman" w:hAnsi="Times New Roman" w:cs="Times New Roman"/>
          <w:color w:val="auto"/>
          <w:sz w:val="24"/>
          <w:szCs w:val="24"/>
          <w:lang w:val="it-IT"/>
        </w:rPr>
      </w:pPr>
    </w:p>
    <w:p w14:paraId="2258EA6B" w14:textId="28B15CFA" w:rsidR="005207CB" w:rsidRPr="00361047" w:rsidRDefault="00361047" w:rsidP="00361047">
      <w:pPr>
        <w:spacing w:after="0" w:line="240" w:lineRule="auto"/>
        <w:ind w:left="284" w:hanging="284"/>
        <w:jc w:val="both"/>
        <w:rPr>
          <w:rFonts w:ascii="Times New Roman" w:hAnsi="Times New Roman" w:cs="Times New Roman"/>
          <w:sz w:val="20"/>
          <w:szCs w:val="20"/>
          <w:lang w:val="it-IT"/>
        </w:rPr>
      </w:pPr>
      <w:r w:rsidRPr="00361047">
        <w:rPr>
          <w:rFonts w:ascii="Times New Roman" w:hAnsi="Times New Roman" w:cs="Times New Roman"/>
          <w:smallCaps/>
          <w:sz w:val="20"/>
          <w:szCs w:val="20"/>
          <w:lang w:val="it-IT"/>
        </w:rPr>
        <w:t>Sommario</w:t>
      </w:r>
      <w:r>
        <w:rPr>
          <w:rFonts w:ascii="Times New Roman" w:hAnsi="Times New Roman" w:cs="Times New Roman"/>
          <w:sz w:val="20"/>
          <w:szCs w:val="20"/>
          <w:lang w:val="it-IT"/>
        </w:rPr>
        <w:t xml:space="preserve">: </w:t>
      </w:r>
      <w:r w:rsidR="00D148FC" w:rsidRPr="00361047">
        <w:rPr>
          <w:rFonts w:ascii="Times New Roman" w:hAnsi="Times New Roman" w:cs="Times New Roman"/>
          <w:sz w:val="20"/>
          <w:szCs w:val="20"/>
          <w:lang w:val="it-IT"/>
        </w:rPr>
        <w:t xml:space="preserve">1. </w:t>
      </w:r>
      <w:r w:rsidR="00D72E34" w:rsidRPr="00361047">
        <w:rPr>
          <w:rFonts w:ascii="Times New Roman" w:hAnsi="Times New Roman" w:cs="Times New Roman"/>
          <w:sz w:val="20"/>
          <w:szCs w:val="20"/>
          <w:lang w:val="it-IT"/>
        </w:rPr>
        <w:t>Il rischio di riduzione del livello di tutela dei diritti fondamentali nella difficile costruzione de</w:t>
      </w:r>
      <w:r w:rsidR="00080884" w:rsidRPr="00361047">
        <w:rPr>
          <w:rFonts w:ascii="Times New Roman" w:hAnsi="Times New Roman" w:cs="Times New Roman"/>
          <w:sz w:val="20"/>
          <w:szCs w:val="20"/>
          <w:lang w:val="it-IT"/>
        </w:rPr>
        <w:t>l sistema europeo di asilo</w:t>
      </w:r>
      <w:r w:rsidR="0038099F" w:rsidRPr="00361047">
        <w:rPr>
          <w:rFonts w:ascii="Times New Roman" w:hAnsi="Times New Roman" w:cs="Times New Roman"/>
          <w:sz w:val="20"/>
          <w:szCs w:val="20"/>
          <w:lang w:val="it-IT"/>
        </w:rPr>
        <w:t>.</w:t>
      </w:r>
      <w:r w:rsidR="00D72E34" w:rsidRPr="00361047">
        <w:rPr>
          <w:rFonts w:ascii="Times New Roman" w:hAnsi="Times New Roman" w:cs="Times New Roman"/>
          <w:sz w:val="20"/>
          <w:szCs w:val="20"/>
          <w:lang w:val="it-IT"/>
        </w:rPr>
        <w:t xml:space="preserve"> </w:t>
      </w:r>
      <w:r w:rsidR="00720999" w:rsidRPr="00361047">
        <w:rPr>
          <w:rFonts w:ascii="Times New Roman" w:hAnsi="Times New Roman" w:cs="Times New Roman"/>
          <w:color w:val="000000"/>
          <w:sz w:val="20"/>
          <w:szCs w:val="20"/>
          <w:lang w:val="it-IT"/>
        </w:rPr>
        <w:t>2</w:t>
      </w:r>
      <w:r w:rsidR="004F15C1" w:rsidRPr="00361047">
        <w:rPr>
          <w:rFonts w:ascii="Times New Roman" w:hAnsi="Times New Roman" w:cs="Times New Roman"/>
          <w:color w:val="000000"/>
          <w:sz w:val="20"/>
          <w:szCs w:val="20"/>
          <w:lang w:val="it-IT"/>
        </w:rPr>
        <w:t xml:space="preserve">. </w:t>
      </w:r>
      <w:r w:rsidR="00D72E34" w:rsidRPr="00361047">
        <w:rPr>
          <w:rFonts w:ascii="Times New Roman" w:hAnsi="Times New Roman" w:cs="Times New Roman"/>
          <w:color w:val="000000"/>
          <w:sz w:val="20"/>
          <w:szCs w:val="20"/>
          <w:lang w:val="it-IT"/>
        </w:rPr>
        <w:t>Il di</w:t>
      </w:r>
      <w:r w:rsidR="004F15C1" w:rsidRPr="00361047">
        <w:rPr>
          <w:rFonts w:ascii="Times New Roman" w:hAnsi="Times New Roman" w:cs="Times New Roman"/>
          <w:color w:val="000000"/>
          <w:sz w:val="20"/>
          <w:szCs w:val="20"/>
          <w:lang w:val="it-IT"/>
        </w:rPr>
        <w:t xml:space="preserve">ritto ad un ricorso effettivo. </w:t>
      </w:r>
      <w:r w:rsidR="00720999" w:rsidRPr="00361047">
        <w:rPr>
          <w:rFonts w:ascii="Times New Roman" w:hAnsi="Times New Roman" w:cs="Times New Roman"/>
          <w:color w:val="000000"/>
          <w:sz w:val="20"/>
          <w:szCs w:val="20"/>
          <w:lang w:val="it-IT"/>
        </w:rPr>
        <w:t>2</w:t>
      </w:r>
      <w:r w:rsidR="004F15C1" w:rsidRPr="00361047">
        <w:rPr>
          <w:rFonts w:ascii="Times New Roman" w:hAnsi="Times New Roman" w:cs="Times New Roman"/>
          <w:color w:val="000000"/>
          <w:sz w:val="20"/>
          <w:szCs w:val="20"/>
          <w:lang w:val="it-IT"/>
        </w:rPr>
        <w:t xml:space="preserve">.a. </w:t>
      </w:r>
      <w:r w:rsidR="001A28F7" w:rsidRPr="00361047">
        <w:rPr>
          <w:rFonts w:ascii="Times New Roman" w:hAnsi="Times New Roman" w:cs="Times New Roman"/>
          <w:color w:val="000000"/>
          <w:sz w:val="20"/>
          <w:szCs w:val="20"/>
          <w:lang w:val="it-IT"/>
        </w:rPr>
        <w:t xml:space="preserve">Il rapporto tra la Carta (art. </w:t>
      </w:r>
      <w:r w:rsidR="000809E4" w:rsidRPr="00361047">
        <w:rPr>
          <w:rFonts w:ascii="Times New Roman" w:hAnsi="Times New Roman" w:cs="Times New Roman"/>
          <w:color w:val="000000"/>
          <w:sz w:val="20"/>
          <w:szCs w:val="20"/>
          <w:lang w:val="it-IT"/>
        </w:rPr>
        <w:t>47</w:t>
      </w:r>
      <w:r w:rsidR="00080884" w:rsidRPr="00361047">
        <w:rPr>
          <w:rFonts w:ascii="Times New Roman" w:hAnsi="Times New Roman" w:cs="Times New Roman"/>
          <w:color w:val="000000"/>
          <w:sz w:val="20"/>
          <w:szCs w:val="20"/>
          <w:lang w:val="it-IT"/>
        </w:rPr>
        <w:t>) e la CE</w:t>
      </w:r>
      <w:r w:rsidR="001A28F7" w:rsidRPr="00361047">
        <w:rPr>
          <w:rFonts w:ascii="Times New Roman" w:hAnsi="Times New Roman" w:cs="Times New Roman"/>
          <w:color w:val="000000"/>
          <w:sz w:val="20"/>
          <w:szCs w:val="20"/>
          <w:lang w:val="it-IT"/>
        </w:rPr>
        <w:t>DU (artt. 6 e 13)</w:t>
      </w:r>
      <w:r w:rsidR="000809E4" w:rsidRPr="00361047">
        <w:rPr>
          <w:rFonts w:ascii="Times New Roman" w:hAnsi="Times New Roman" w:cs="Times New Roman"/>
          <w:color w:val="000000"/>
          <w:sz w:val="20"/>
          <w:szCs w:val="20"/>
          <w:lang w:val="it-IT"/>
        </w:rPr>
        <w:t xml:space="preserve">; </w:t>
      </w:r>
      <w:r w:rsidR="00720999" w:rsidRPr="00361047">
        <w:rPr>
          <w:rFonts w:ascii="Times New Roman" w:hAnsi="Times New Roman" w:cs="Times New Roman"/>
          <w:color w:val="000000"/>
          <w:sz w:val="20"/>
          <w:szCs w:val="20"/>
          <w:lang w:val="it-IT"/>
        </w:rPr>
        <w:t>2</w:t>
      </w:r>
      <w:r w:rsidR="00B66C89" w:rsidRPr="00361047">
        <w:rPr>
          <w:rFonts w:ascii="Times New Roman" w:hAnsi="Times New Roman" w:cs="Times New Roman"/>
          <w:color w:val="000000"/>
          <w:sz w:val="20"/>
          <w:szCs w:val="20"/>
          <w:lang w:val="it-IT"/>
        </w:rPr>
        <w:t>.</w:t>
      </w:r>
      <w:r w:rsidR="000809E4" w:rsidRPr="00361047">
        <w:rPr>
          <w:rFonts w:ascii="Times New Roman" w:hAnsi="Times New Roman" w:cs="Times New Roman"/>
          <w:color w:val="000000"/>
          <w:sz w:val="20"/>
          <w:szCs w:val="20"/>
          <w:lang w:val="it-IT"/>
        </w:rPr>
        <w:t>b</w:t>
      </w:r>
      <w:r w:rsidR="00B66C89" w:rsidRPr="00361047">
        <w:rPr>
          <w:rFonts w:ascii="Times New Roman" w:hAnsi="Times New Roman" w:cs="Times New Roman"/>
          <w:color w:val="000000"/>
          <w:sz w:val="20"/>
          <w:szCs w:val="20"/>
          <w:lang w:val="it-IT"/>
        </w:rPr>
        <w:t xml:space="preserve">. </w:t>
      </w:r>
      <w:r w:rsidR="001A28F7" w:rsidRPr="00361047">
        <w:rPr>
          <w:rFonts w:ascii="Times New Roman" w:hAnsi="Times New Roman" w:cs="Times New Roman"/>
          <w:color w:val="000000"/>
          <w:sz w:val="20"/>
          <w:szCs w:val="20"/>
          <w:lang w:val="it-IT"/>
        </w:rPr>
        <w:t>Il diritto ad</w:t>
      </w:r>
      <w:r w:rsidR="00D72E34" w:rsidRPr="00361047">
        <w:rPr>
          <w:rFonts w:ascii="Times New Roman" w:hAnsi="Times New Roman" w:cs="Times New Roman"/>
          <w:color w:val="000000"/>
          <w:sz w:val="20"/>
          <w:szCs w:val="20"/>
          <w:lang w:val="it-IT"/>
        </w:rPr>
        <w:t xml:space="preserve"> un’udienza pubblica e </w:t>
      </w:r>
      <w:r w:rsidR="001A28F7" w:rsidRPr="00361047">
        <w:rPr>
          <w:rFonts w:ascii="Times New Roman" w:hAnsi="Times New Roman" w:cs="Times New Roman"/>
          <w:color w:val="000000"/>
          <w:sz w:val="20"/>
          <w:szCs w:val="20"/>
          <w:lang w:val="it-IT"/>
        </w:rPr>
        <w:t>all’audizione</w:t>
      </w:r>
      <w:r w:rsidR="004F15C1" w:rsidRPr="00361047">
        <w:rPr>
          <w:rFonts w:ascii="Times New Roman" w:hAnsi="Times New Roman" w:cs="Times New Roman"/>
          <w:color w:val="000000"/>
          <w:sz w:val="20"/>
          <w:szCs w:val="20"/>
          <w:lang w:val="it-IT"/>
        </w:rPr>
        <w:t xml:space="preserve">; </w:t>
      </w:r>
      <w:r w:rsidR="00720999" w:rsidRPr="00361047">
        <w:rPr>
          <w:rFonts w:ascii="Times New Roman" w:hAnsi="Times New Roman" w:cs="Times New Roman"/>
          <w:color w:val="000000"/>
          <w:sz w:val="20"/>
          <w:szCs w:val="20"/>
          <w:lang w:val="it-IT"/>
        </w:rPr>
        <w:t>2</w:t>
      </w:r>
      <w:r w:rsidR="00D72E34" w:rsidRPr="00361047">
        <w:rPr>
          <w:rFonts w:ascii="Times New Roman" w:hAnsi="Times New Roman" w:cs="Times New Roman"/>
          <w:color w:val="000000"/>
          <w:sz w:val="20"/>
          <w:szCs w:val="20"/>
          <w:lang w:val="it-IT"/>
        </w:rPr>
        <w:t>.c</w:t>
      </w:r>
      <w:r w:rsidR="00B66C89" w:rsidRPr="00361047">
        <w:rPr>
          <w:rFonts w:ascii="Times New Roman" w:hAnsi="Times New Roman" w:cs="Times New Roman"/>
          <w:color w:val="000000"/>
          <w:sz w:val="20"/>
          <w:szCs w:val="20"/>
          <w:lang w:val="it-IT"/>
        </w:rPr>
        <w:t>.</w:t>
      </w:r>
      <w:r w:rsidR="00D72E34" w:rsidRPr="00361047">
        <w:rPr>
          <w:rFonts w:ascii="Times New Roman" w:hAnsi="Times New Roman" w:cs="Times New Roman"/>
          <w:color w:val="000000"/>
          <w:sz w:val="20"/>
          <w:szCs w:val="20"/>
          <w:lang w:val="it-IT"/>
        </w:rPr>
        <w:t xml:space="preserve"> L’appello e la richiesta di sospensiva del provvedimento impugnato</w:t>
      </w:r>
      <w:r w:rsidR="00B66C89" w:rsidRPr="00361047">
        <w:rPr>
          <w:rFonts w:ascii="Times New Roman" w:hAnsi="Times New Roman" w:cs="Times New Roman"/>
          <w:color w:val="000000"/>
          <w:sz w:val="20"/>
          <w:szCs w:val="20"/>
          <w:lang w:val="it-IT"/>
        </w:rPr>
        <w:t xml:space="preserve">. </w:t>
      </w:r>
      <w:r w:rsidR="00720999" w:rsidRPr="00361047">
        <w:rPr>
          <w:rFonts w:ascii="Times New Roman" w:hAnsi="Times New Roman" w:cs="Times New Roman"/>
          <w:color w:val="000000"/>
          <w:sz w:val="20"/>
          <w:szCs w:val="20"/>
          <w:lang w:val="it-IT"/>
        </w:rPr>
        <w:t>3</w:t>
      </w:r>
      <w:r w:rsidR="009D5F71" w:rsidRPr="00361047">
        <w:rPr>
          <w:rFonts w:ascii="Times New Roman" w:hAnsi="Times New Roman" w:cs="Times New Roman"/>
          <w:color w:val="000000"/>
          <w:sz w:val="20"/>
          <w:szCs w:val="20"/>
          <w:lang w:val="it-IT"/>
        </w:rPr>
        <w:t>.</w:t>
      </w:r>
      <w:r w:rsidR="002F5E1E" w:rsidRPr="00361047">
        <w:rPr>
          <w:rFonts w:ascii="Times New Roman" w:hAnsi="Times New Roman" w:cs="Times New Roman"/>
          <w:color w:val="000000"/>
          <w:sz w:val="20"/>
          <w:szCs w:val="20"/>
          <w:lang w:val="it-IT"/>
        </w:rPr>
        <w:t xml:space="preserve"> </w:t>
      </w:r>
      <w:r w:rsidR="009D5F71" w:rsidRPr="00361047">
        <w:rPr>
          <w:rFonts w:ascii="Times New Roman" w:hAnsi="Times New Roman" w:cs="Times New Roman"/>
          <w:color w:val="000000"/>
          <w:sz w:val="20"/>
          <w:szCs w:val="20"/>
          <w:lang w:val="it-IT"/>
        </w:rPr>
        <w:t>Lo standard di tutela del diritto di asilo tra Convenzione di Ginevra, Diritto UE e CEDU</w:t>
      </w:r>
      <w:r w:rsidR="004F15C1" w:rsidRPr="00361047">
        <w:rPr>
          <w:rFonts w:ascii="Times New Roman" w:hAnsi="Times New Roman" w:cs="Times New Roman"/>
          <w:color w:val="000000"/>
          <w:sz w:val="20"/>
          <w:szCs w:val="20"/>
          <w:lang w:val="it-IT"/>
        </w:rPr>
        <w:t xml:space="preserve">. </w:t>
      </w:r>
      <w:r w:rsidR="00720999" w:rsidRPr="00361047">
        <w:rPr>
          <w:rFonts w:ascii="Times New Roman" w:hAnsi="Times New Roman" w:cs="Times New Roman"/>
          <w:color w:val="000000"/>
          <w:sz w:val="20"/>
          <w:szCs w:val="20"/>
          <w:lang w:val="it-IT"/>
        </w:rPr>
        <w:t>4</w:t>
      </w:r>
      <w:r w:rsidR="00B66C89" w:rsidRPr="00361047">
        <w:rPr>
          <w:rFonts w:ascii="Times New Roman" w:hAnsi="Times New Roman" w:cs="Times New Roman"/>
          <w:color w:val="000000"/>
          <w:sz w:val="20"/>
          <w:szCs w:val="20"/>
          <w:lang w:val="it-IT"/>
        </w:rPr>
        <w:t xml:space="preserve">. </w:t>
      </w:r>
      <w:r w:rsidR="001A28F7" w:rsidRPr="00361047">
        <w:rPr>
          <w:rFonts w:ascii="Times New Roman" w:hAnsi="Times New Roman" w:cs="Times New Roman"/>
          <w:color w:val="000000"/>
          <w:sz w:val="20"/>
          <w:szCs w:val="20"/>
          <w:lang w:val="it-IT"/>
        </w:rPr>
        <w:t>Conclusioni</w:t>
      </w:r>
      <w:r w:rsidR="005207CB" w:rsidRPr="00361047">
        <w:rPr>
          <w:rFonts w:ascii="Times New Roman" w:hAnsi="Times New Roman" w:cs="Times New Roman"/>
          <w:webHidden/>
          <w:color w:val="000000"/>
          <w:sz w:val="20"/>
          <w:szCs w:val="20"/>
          <w:lang w:val="it-IT"/>
        </w:rPr>
        <w:t>.</w:t>
      </w:r>
    </w:p>
    <w:p w14:paraId="58AD5E5A" w14:textId="77777777" w:rsidR="00BC685D" w:rsidRPr="00361047" w:rsidRDefault="00BC685D" w:rsidP="00806AD2">
      <w:pPr>
        <w:pStyle w:val="Paragrafoelenco"/>
        <w:spacing w:after="0" w:line="240" w:lineRule="auto"/>
        <w:rPr>
          <w:rFonts w:ascii="Times New Roman" w:hAnsi="Times New Roman" w:cs="Times New Roman"/>
          <w:b/>
          <w:lang w:val="it-IT"/>
        </w:rPr>
      </w:pPr>
      <w:bookmarkStart w:id="0" w:name="_Toc522625384"/>
    </w:p>
    <w:bookmarkEnd w:id="0"/>
    <w:p w14:paraId="3E01481E" w14:textId="3AC18A1E" w:rsidR="00CE3D3A" w:rsidRPr="00361047" w:rsidRDefault="00361047" w:rsidP="00806AD2">
      <w:pPr>
        <w:spacing w:after="0" w:line="240" w:lineRule="auto"/>
        <w:ind w:firstLine="360"/>
        <w:jc w:val="both"/>
        <w:rPr>
          <w:rFonts w:ascii="Times New Roman" w:hAnsi="Times New Roman" w:cs="Times New Roman"/>
          <w:lang w:val="it-IT"/>
        </w:rPr>
      </w:pPr>
      <w:r>
        <w:rPr>
          <w:rFonts w:ascii="Times New Roman" w:hAnsi="Times New Roman" w:cs="Times New Roman"/>
          <w:lang w:val="it-IT"/>
        </w:rPr>
        <w:t>1.</w:t>
      </w:r>
      <w:r w:rsidR="005562B9" w:rsidRPr="00361047">
        <w:rPr>
          <w:rFonts w:ascii="Times New Roman" w:hAnsi="Times New Roman" w:cs="Times New Roman"/>
          <w:lang w:val="it-IT"/>
        </w:rPr>
        <w:t>La politica di asilo dell’Unione europe</w:t>
      </w:r>
      <w:r w:rsidR="00315432" w:rsidRPr="00361047">
        <w:rPr>
          <w:rFonts w:ascii="Times New Roman" w:hAnsi="Times New Roman" w:cs="Times New Roman"/>
          <w:lang w:val="it-IT"/>
        </w:rPr>
        <w:t>a è parte integrante del c.d</w:t>
      </w:r>
      <w:r w:rsidR="005562B9" w:rsidRPr="00361047">
        <w:rPr>
          <w:rFonts w:ascii="Times New Roman" w:hAnsi="Times New Roman" w:cs="Times New Roman"/>
          <w:lang w:val="it-IT"/>
        </w:rPr>
        <w:t>. spazio di libertà, sicurezza e giustizia, vale a dire di quello spazio territoriale costituito dai territori degli Stati membri, dove la libertà di circolazione deve essere goduta in condizioni di sicurezza e giustizia uguali per tutti</w:t>
      </w:r>
      <w:r w:rsidR="00083486" w:rsidRPr="00361047">
        <w:rPr>
          <w:rStyle w:val="Rimandonotaapidipagina"/>
          <w:rFonts w:ascii="Times New Roman" w:hAnsi="Times New Roman" w:cs="Times New Roman"/>
        </w:rPr>
        <w:footnoteReference w:id="1"/>
      </w:r>
      <w:r w:rsidR="005562B9" w:rsidRPr="00361047">
        <w:rPr>
          <w:rFonts w:ascii="Times New Roman" w:hAnsi="Times New Roman" w:cs="Times New Roman"/>
          <w:lang w:val="it-IT"/>
        </w:rPr>
        <w:t>.</w:t>
      </w:r>
    </w:p>
    <w:p w14:paraId="035B1E81" w14:textId="60B8C08C" w:rsidR="00895207" w:rsidRPr="00361047" w:rsidRDefault="005562B9" w:rsidP="00806AD2">
      <w:pPr>
        <w:spacing w:after="0" w:line="240" w:lineRule="auto"/>
        <w:ind w:firstLine="360"/>
        <w:jc w:val="both"/>
        <w:rPr>
          <w:rFonts w:ascii="Times New Roman" w:hAnsi="Times New Roman" w:cs="Times New Roman"/>
          <w:lang w:val="it-IT"/>
        </w:rPr>
      </w:pPr>
      <w:r w:rsidRPr="00361047">
        <w:rPr>
          <w:rFonts w:ascii="Times New Roman" w:hAnsi="Times New Roman" w:cs="Times New Roman"/>
          <w:lang w:val="it-IT"/>
        </w:rPr>
        <w:t>Sulla base degli orientamenti espressi dal Consiglio europeo, le istituzioni dell’Unione hanno dato corpo ad un Sistema europeo di asilo, sviluppatosi attraverso due fasi successive, caratterizzate dalla graduale armonizzazi</w:t>
      </w:r>
      <w:r w:rsidR="00315432" w:rsidRPr="00361047">
        <w:rPr>
          <w:rFonts w:ascii="Times New Roman" w:hAnsi="Times New Roman" w:cs="Times New Roman"/>
          <w:lang w:val="it-IT"/>
        </w:rPr>
        <w:t>one delle legislazioni nazionali</w:t>
      </w:r>
      <w:r w:rsidRPr="00361047">
        <w:rPr>
          <w:rFonts w:ascii="Times New Roman" w:hAnsi="Times New Roman" w:cs="Times New Roman"/>
          <w:lang w:val="it-IT"/>
        </w:rPr>
        <w:t xml:space="preserve"> su tutti gli aspetti rilevanti del Sistema di protezione:</w:t>
      </w:r>
      <w:r w:rsidR="009E5F50" w:rsidRPr="00361047">
        <w:rPr>
          <w:rFonts w:ascii="Times New Roman" w:hAnsi="Times New Roman" w:cs="Times New Roman"/>
          <w:lang w:val="it-IT"/>
        </w:rPr>
        <w:t xml:space="preserve"> </w:t>
      </w:r>
      <w:r w:rsidRPr="00361047">
        <w:rPr>
          <w:rFonts w:ascii="Times New Roman" w:hAnsi="Times New Roman" w:cs="Times New Roman"/>
          <w:lang w:val="it-IT"/>
        </w:rPr>
        <w:t>accoglienza, procedure, qualifiche e determinazione dello Stato responsabile ad esaminare una richiesta di asilo</w:t>
      </w:r>
      <w:r w:rsidR="007872FE" w:rsidRPr="00361047">
        <w:rPr>
          <w:rFonts w:ascii="Times New Roman" w:hAnsi="Times New Roman" w:cs="Times New Roman"/>
          <w:vertAlign w:val="superscript"/>
        </w:rPr>
        <w:footnoteReference w:id="2"/>
      </w:r>
      <w:r w:rsidRPr="00361047">
        <w:rPr>
          <w:rFonts w:ascii="Times New Roman" w:hAnsi="Times New Roman" w:cs="Times New Roman"/>
          <w:lang w:val="it-IT"/>
        </w:rPr>
        <w:t>.</w:t>
      </w:r>
    </w:p>
    <w:p w14:paraId="1C73F1C7" w14:textId="30B1C782" w:rsidR="00C77C7F" w:rsidRPr="00361047" w:rsidRDefault="005562B9" w:rsidP="00806AD2">
      <w:pPr>
        <w:spacing w:after="0" w:line="240" w:lineRule="auto"/>
        <w:ind w:firstLine="360"/>
        <w:jc w:val="both"/>
        <w:rPr>
          <w:rFonts w:ascii="Times New Roman" w:hAnsi="Times New Roman" w:cs="Times New Roman"/>
          <w:color w:val="000000"/>
          <w:lang w:val="it-IT"/>
        </w:rPr>
      </w:pPr>
      <w:r w:rsidRPr="00361047">
        <w:rPr>
          <w:rFonts w:ascii="Times New Roman" w:hAnsi="Times New Roman" w:cs="Times New Roman"/>
          <w:lang w:val="it-IT"/>
        </w:rPr>
        <w:t xml:space="preserve">L’approvazione degli atti normativi è stata possibile superando la tradizionale riluttanza degli Stati ad accettare </w:t>
      </w:r>
      <w:r w:rsidR="00E2407F" w:rsidRPr="00361047">
        <w:rPr>
          <w:rFonts w:ascii="Times New Roman" w:hAnsi="Times New Roman" w:cs="Times New Roman"/>
          <w:lang w:val="it-IT"/>
        </w:rPr>
        <w:t xml:space="preserve">vincoli </w:t>
      </w:r>
      <w:r w:rsidR="00FF11FC" w:rsidRPr="00361047">
        <w:rPr>
          <w:rFonts w:ascii="Times New Roman" w:hAnsi="Times New Roman" w:cs="Times New Roman"/>
          <w:lang w:val="it-IT"/>
        </w:rPr>
        <w:t>relativamente al</w:t>
      </w:r>
      <w:r w:rsidR="00E2407F" w:rsidRPr="00361047">
        <w:rPr>
          <w:rFonts w:ascii="Times New Roman" w:hAnsi="Times New Roman" w:cs="Times New Roman"/>
          <w:lang w:val="it-IT"/>
        </w:rPr>
        <w:t xml:space="preserve"> </w:t>
      </w:r>
      <w:r w:rsidRPr="00361047">
        <w:rPr>
          <w:rFonts w:ascii="Times New Roman" w:hAnsi="Times New Roman" w:cs="Times New Roman"/>
          <w:lang w:val="it-IT"/>
        </w:rPr>
        <w:t>trattamento de</w:t>
      </w:r>
      <w:r w:rsidR="00987344" w:rsidRPr="00361047">
        <w:rPr>
          <w:rFonts w:ascii="Times New Roman" w:hAnsi="Times New Roman" w:cs="Times New Roman"/>
          <w:lang w:val="it-IT"/>
        </w:rPr>
        <w:t xml:space="preserve">gli stranieri, da sempre ritenuta una materia di stretta competenza nazionale, riflesso precipuo della sovranità statale. Tuttavia, è stato </w:t>
      </w:r>
      <w:r w:rsidR="00A81A10" w:rsidRPr="00361047">
        <w:rPr>
          <w:rFonts w:ascii="Times New Roman" w:hAnsi="Times New Roman" w:cs="Times New Roman"/>
          <w:lang w:val="it-IT"/>
        </w:rPr>
        <w:t>prima</w:t>
      </w:r>
      <w:r w:rsidR="00987344" w:rsidRPr="00361047">
        <w:rPr>
          <w:rFonts w:ascii="Times New Roman" w:hAnsi="Times New Roman" w:cs="Times New Roman"/>
          <w:lang w:val="it-IT"/>
        </w:rPr>
        <w:t xml:space="preserve"> necessario superare la fase dei tre pilastri dell’era p</w:t>
      </w:r>
      <w:r w:rsidR="00480E77" w:rsidRPr="00361047">
        <w:rPr>
          <w:rFonts w:ascii="Times New Roman" w:hAnsi="Times New Roman" w:cs="Times New Roman"/>
          <w:lang w:val="it-IT"/>
        </w:rPr>
        <w:t>ost-Maastricht</w:t>
      </w:r>
      <w:r w:rsidR="0066576E" w:rsidRPr="00361047">
        <w:rPr>
          <w:rFonts w:ascii="Times New Roman" w:hAnsi="Times New Roman" w:cs="Times New Roman"/>
          <w:lang w:val="it-IT"/>
        </w:rPr>
        <w:t xml:space="preserve">, </w:t>
      </w:r>
      <w:r w:rsidR="0066576E" w:rsidRPr="00361047">
        <w:rPr>
          <w:rFonts w:ascii="Times New Roman" w:hAnsi="Times New Roman" w:cs="Times New Roman"/>
          <w:lang w:val="it-IT"/>
        </w:rPr>
        <w:lastRenderedPageBreak/>
        <w:t>passando attraverso la fase intermedia post-Amsterdam e anche ricorrendo all’uso degli accordi internazionali</w:t>
      </w:r>
      <w:r w:rsidR="007872FE" w:rsidRPr="00361047">
        <w:rPr>
          <w:rFonts w:ascii="Times New Roman" w:hAnsi="Times New Roman" w:cs="Times New Roman"/>
          <w:lang w:val="it-IT"/>
        </w:rPr>
        <w:t xml:space="preserve">, </w:t>
      </w:r>
      <w:r w:rsidR="0066576E" w:rsidRPr="00361047">
        <w:rPr>
          <w:rFonts w:ascii="Times New Roman" w:hAnsi="Times New Roman" w:cs="Times New Roman"/>
          <w:lang w:val="it-IT"/>
        </w:rPr>
        <w:t xml:space="preserve">come la Convenzione di </w:t>
      </w:r>
      <w:r w:rsidR="007872FE" w:rsidRPr="00361047">
        <w:rPr>
          <w:rFonts w:ascii="Times New Roman" w:hAnsi="Times New Roman" w:cs="Times New Roman"/>
          <w:lang w:val="it-IT"/>
        </w:rPr>
        <w:t xml:space="preserve">Schengen </w:t>
      </w:r>
      <w:r w:rsidR="0066576E" w:rsidRPr="00361047">
        <w:rPr>
          <w:rFonts w:ascii="Times New Roman" w:hAnsi="Times New Roman" w:cs="Times New Roman"/>
          <w:lang w:val="it-IT"/>
        </w:rPr>
        <w:t xml:space="preserve">del 1985 ed il Trattato di Dublino del </w:t>
      </w:r>
      <w:r w:rsidR="007872FE" w:rsidRPr="00361047">
        <w:rPr>
          <w:rFonts w:ascii="Times New Roman" w:hAnsi="Times New Roman" w:cs="Times New Roman"/>
          <w:lang w:val="it-IT"/>
        </w:rPr>
        <w:t xml:space="preserve">1990, </w:t>
      </w:r>
      <w:r w:rsidR="0066576E" w:rsidRPr="00361047">
        <w:rPr>
          <w:rFonts w:ascii="Times New Roman" w:hAnsi="Times New Roman" w:cs="Times New Roman"/>
          <w:lang w:val="it-IT"/>
        </w:rPr>
        <w:t>entrambi adesso incorporati nell’</w:t>
      </w:r>
      <w:r w:rsidR="00A81A10" w:rsidRPr="00361047">
        <w:rPr>
          <w:rFonts w:ascii="Times New Roman" w:hAnsi="Times New Roman" w:cs="Times New Roman"/>
          <w:lang w:val="it-IT"/>
        </w:rPr>
        <w:t>ordinamento</w:t>
      </w:r>
      <w:r w:rsidR="0066576E" w:rsidRPr="00361047">
        <w:rPr>
          <w:rFonts w:ascii="Times New Roman" w:hAnsi="Times New Roman" w:cs="Times New Roman"/>
          <w:lang w:val="it-IT"/>
        </w:rPr>
        <w:t xml:space="preserve"> dell’Unione europea, ma solo grazie ad un’articolata applicazione differenziata</w:t>
      </w:r>
      <w:r w:rsidR="007872FE" w:rsidRPr="00361047">
        <w:rPr>
          <w:rFonts w:ascii="Times New Roman" w:hAnsi="Times New Roman" w:cs="Times New Roman"/>
          <w:lang w:val="it-IT"/>
        </w:rPr>
        <w:t xml:space="preserve">. </w:t>
      </w:r>
      <w:r w:rsidR="0066576E" w:rsidRPr="00361047">
        <w:rPr>
          <w:rFonts w:ascii="Times New Roman" w:hAnsi="Times New Roman" w:cs="Times New Roman"/>
          <w:lang w:val="it-IT"/>
        </w:rPr>
        <w:t xml:space="preserve">In effetti, vi sono </w:t>
      </w:r>
      <w:r w:rsidR="00A81A10" w:rsidRPr="00361047">
        <w:rPr>
          <w:rFonts w:ascii="Times New Roman" w:hAnsi="Times New Roman" w:cs="Times New Roman"/>
          <w:lang w:val="it-IT"/>
        </w:rPr>
        <w:t>Paesi</w:t>
      </w:r>
      <w:r w:rsidR="0066576E" w:rsidRPr="00361047">
        <w:rPr>
          <w:rFonts w:ascii="Times New Roman" w:hAnsi="Times New Roman" w:cs="Times New Roman"/>
          <w:lang w:val="it-IT"/>
        </w:rPr>
        <w:t xml:space="preserve"> membri che non sono vincolati dalle norme UE</w:t>
      </w:r>
      <w:r w:rsidR="007872FE" w:rsidRPr="00361047">
        <w:rPr>
          <w:rFonts w:ascii="Times New Roman" w:hAnsi="Times New Roman" w:cs="Times New Roman"/>
          <w:lang w:val="it-IT"/>
        </w:rPr>
        <w:t xml:space="preserve">, </w:t>
      </w:r>
      <w:r w:rsidR="0066576E" w:rsidRPr="00361047">
        <w:rPr>
          <w:rFonts w:ascii="Times New Roman" w:hAnsi="Times New Roman" w:cs="Times New Roman"/>
          <w:lang w:val="it-IT"/>
        </w:rPr>
        <w:t xml:space="preserve">salvo una decisione contraria </w:t>
      </w:r>
      <w:r w:rsidR="007872FE" w:rsidRPr="00361047">
        <w:rPr>
          <w:rFonts w:ascii="Times New Roman" w:hAnsi="Times New Roman" w:cs="Times New Roman"/>
          <w:lang w:val="it-IT"/>
        </w:rPr>
        <w:t>(</w:t>
      </w:r>
      <w:r w:rsidR="0066576E" w:rsidRPr="00361047">
        <w:rPr>
          <w:rFonts w:ascii="Times New Roman" w:hAnsi="Times New Roman" w:cs="Times New Roman"/>
          <w:lang w:val="it-IT"/>
        </w:rPr>
        <w:t>Regno Unito e Ir</w:t>
      </w:r>
      <w:r w:rsidR="007872FE" w:rsidRPr="00361047">
        <w:rPr>
          <w:rFonts w:ascii="Times New Roman" w:hAnsi="Times New Roman" w:cs="Times New Roman"/>
          <w:lang w:val="it-IT"/>
        </w:rPr>
        <w:t>land</w:t>
      </w:r>
      <w:r w:rsidR="0066576E" w:rsidRPr="00361047">
        <w:rPr>
          <w:rFonts w:ascii="Times New Roman" w:hAnsi="Times New Roman" w:cs="Times New Roman"/>
          <w:lang w:val="it-IT"/>
        </w:rPr>
        <w:t>a</w:t>
      </w:r>
      <w:r w:rsidR="007872FE" w:rsidRPr="00361047">
        <w:rPr>
          <w:rFonts w:ascii="Times New Roman" w:hAnsi="Times New Roman" w:cs="Times New Roman"/>
          <w:lang w:val="it-IT"/>
        </w:rPr>
        <w:t>);</w:t>
      </w:r>
      <w:r w:rsidR="0066576E" w:rsidRPr="00361047">
        <w:rPr>
          <w:rFonts w:ascii="Times New Roman" w:hAnsi="Times New Roman" w:cs="Times New Roman"/>
          <w:lang w:val="it-IT"/>
        </w:rPr>
        <w:t xml:space="preserve"> uno Stato membro che è vincolato solo a titolo di diritto internazionale </w:t>
      </w:r>
      <w:r w:rsidR="007872FE" w:rsidRPr="00361047">
        <w:rPr>
          <w:rFonts w:ascii="Times New Roman" w:hAnsi="Times New Roman" w:cs="Times New Roman"/>
          <w:lang w:val="it-IT"/>
        </w:rPr>
        <w:t>(D</w:t>
      </w:r>
      <w:r w:rsidR="0066576E" w:rsidRPr="00361047">
        <w:rPr>
          <w:rFonts w:ascii="Times New Roman" w:hAnsi="Times New Roman" w:cs="Times New Roman"/>
          <w:lang w:val="it-IT"/>
        </w:rPr>
        <w:t>animarca</w:t>
      </w:r>
      <w:r w:rsidR="007872FE" w:rsidRPr="00361047">
        <w:rPr>
          <w:rFonts w:ascii="Times New Roman" w:hAnsi="Times New Roman" w:cs="Times New Roman"/>
          <w:lang w:val="it-IT"/>
        </w:rPr>
        <w:t>);</w:t>
      </w:r>
      <w:r w:rsidR="0066576E" w:rsidRPr="00361047">
        <w:rPr>
          <w:rFonts w:ascii="Times New Roman" w:hAnsi="Times New Roman" w:cs="Times New Roman"/>
          <w:lang w:val="it-IT"/>
        </w:rPr>
        <w:t xml:space="preserve"> Stati terzi associati attraverso la conclusione di appositi accordi internazionali </w:t>
      </w:r>
      <w:r w:rsidR="007872FE" w:rsidRPr="00361047">
        <w:rPr>
          <w:rFonts w:ascii="Times New Roman" w:hAnsi="Times New Roman" w:cs="Times New Roman"/>
          <w:lang w:val="it-IT"/>
        </w:rPr>
        <w:t>(S</w:t>
      </w:r>
      <w:r w:rsidR="0066576E" w:rsidRPr="00361047">
        <w:rPr>
          <w:rFonts w:ascii="Times New Roman" w:hAnsi="Times New Roman" w:cs="Times New Roman"/>
          <w:lang w:val="it-IT"/>
        </w:rPr>
        <w:t xml:space="preserve">vizzera, </w:t>
      </w:r>
      <w:r w:rsidR="007872FE" w:rsidRPr="00361047">
        <w:rPr>
          <w:rFonts w:ascii="Times New Roman" w:hAnsi="Times New Roman" w:cs="Times New Roman"/>
          <w:lang w:val="it-IT"/>
        </w:rPr>
        <w:t>Liechtenstein, Nor</w:t>
      </w:r>
      <w:r w:rsidR="0066576E" w:rsidRPr="00361047">
        <w:rPr>
          <w:rFonts w:ascii="Times New Roman" w:hAnsi="Times New Roman" w:cs="Times New Roman"/>
          <w:lang w:val="it-IT"/>
        </w:rPr>
        <w:t>vegia ed Islanda</w:t>
      </w:r>
      <w:r w:rsidR="007872FE" w:rsidRPr="00361047">
        <w:rPr>
          <w:rFonts w:ascii="Times New Roman" w:hAnsi="Times New Roman" w:cs="Times New Roman"/>
          <w:lang w:val="it-IT"/>
        </w:rPr>
        <w:t>).</w:t>
      </w:r>
      <w:r w:rsidR="007872FE" w:rsidRPr="00361047">
        <w:rPr>
          <w:rFonts w:ascii="Times New Roman" w:hAnsi="Times New Roman" w:cs="Times New Roman"/>
          <w:vertAlign w:val="superscript"/>
        </w:rPr>
        <w:footnoteReference w:id="3"/>
      </w:r>
      <w:r w:rsidR="007872FE" w:rsidRPr="00361047">
        <w:rPr>
          <w:rFonts w:ascii="Times New Roman" w:hAnsi="Times New Roman" w:cs="Times New Roman"/>
          <w:lang w:val="it-IT"/>
        </w:rPr>
        <w:t xml:space="preserve"> In</w:t>
      </w:r>
      <w:r w:rsidR="0066576E" w:rsidRPr="00361047">
        <w:rPr>
          <w:rFonts w:ascii="Times New Roman" w:hAnsi="Times New Roman" w:cs="Times New Roman"/>
          <w:lang w:val="it-IT"/>
        </w:rPr>
        <w:t xml:space="preserve"> sintesi, un’Europa a geometria variabile sia per gli Stati coinvolti sia per la natura giuridica dei vincoli esistenti</w:t>
      </w:r>
      <w:r w:rsidR="007872FE" w:rsidRPr="00361047">
        <w:rPr>
          <w:rFonts w:ascii="Times New Roman" w:hAnsi="Times New Roman" w:cs="Times New Roman"/>
          <w:lang w:val="it-IT"/>
        </w:rPr>
        <w:t>.</w:t>
      </w:r>
    </w:p>
    <w:p w14:paraId="294F781D" w14:textId="27835CA6" w:rsidR="00114DFC" w:rsidRPr="00361047" w:rsidRDefault="00457933" w:rsidP="00806AD2">
      <w:pPr>
        <w:spacing w:after="0" w:line="240" w:lineRule="auto"/>
        <w:ind w:firstLine="397"/>
        <w:jc w:val="both"/>
        <w:rPr>
          <w:rFonts w:ascii="Times New Roman" w:hAnsi="Times New Roman" w:cs="Times New Roman"/>
          <w:lang w:val="it-IT"/>
        </w:rPr>
      </w:pPr>
      <w:r w:rsidRPr="00361047">
        <w:rPr>
          <w:rFonts w:ascii="Times New Roman" w:hAnsi="Times New Roman" w:cs="Times New Roman"/>
          <w:lang w:val="it-IT"/>
        </w:rPr>
        <w:t xml:space="preserve">Dopo il conferimento di competenza all’Unione e l’adozione delle conclusioni del Consiglio europeo di Tampere del </w:t>
      </w:r>
      <w:r w:rsidR="007872FE" w:rsidRPr="00361047">
        <w:rPr>
          <w:rFonts w:ascii="Times New Roman" w:hAnsi="Times New Roman" w:cs="Times New Roman"/>
          <w:lang w:val="it-IT"/>
        </w:rPr>
        <w:t>1999,</w:t>
      </w:r>
      <w:r w:rsidR="007872FE" w:rsidRPr="00361047">
        <w:rPr>
          <w:rFonts w:ascii="Times New Roman" w:hAnsi="Times New Roman" w:cs="Times New Roman"/>
          <w:vertAlign w:val="superscript"/>
        </w:rPr>
        <w:footnoteReference w:id="4"/>
      </w:r>
      <w:r w:rsidR="007872FE" w:rsidRPr="00361047">
        <w:rPr>
          <w:rFonts w:ascii="Times New Roman" w:hAnsi="Times New Roman" w:cs="Times New Roman"/>
          <w:vertAlign w:val="superscript"/>
          <w:lang w:val="it-IT"/>
        </w:rPr>
        <w:t xml:space="preserve"> </w:t>
      </w:r>
      <w:r w:rsidRPr="00361047">
        <w:rPr>
          <w:rFonts w:ascii="Times New Roman" w:hAnsi="Times New Roman" w:cs="Times New Roman"/>
          <w:lang w:val="it-IT"/>
        </w:rPr>
        <w:t xml:space="preserve">il programma di sviluppo </w:t>
      </w:r>
      <w:r w:rsidR="00315432" w:rsidRPr="00361047">
        <w:rPr>
          <w:rFonts w:ascii="Times New Roman" w:hAnsi="Times New Roman" w:cs="Times New Roman"/>
          <w:lang w:val="it-IT"/>
        </w:rPr>
        <w:t xml:space="preserve">normativo in questa materia </w:t>
      </w:r>
      <w:r w:rsidRPr="00361047">
        <w:rPr>
          <w:rFonts w:ascii="Times New Roman" w:hAnsi="Times New Roman" w:cs="Times New Roman"/>
          <w:lang w:val="it-IT"/>
        </w:rPr>
        <w:t>è stato radicalmente modificato, dando priorità al contrasto al terrorismo ed alla criminalità internazionale, influenzando il contenuto di tutte le altre misure, specialmente quelle relative all’asilo e all’immigrazione. Questo orientamento non è più cambiato e, anzi, la c.d. crisi dei migrant</w:t>
      </w:r>
      <w:r w:rsidR="000A0D9C" w:rsidRPr="00361047">
        <w:rPr>
          <w:rFonts w:ascii="Times New Roman" w:hAnsi="Times New Roman" w:cs="Times New Roman"/>
          <w:lang w:val="it-IT"/>
        </w:rPr>
        <w:t>i</w:t>
      </w:r>
      <w:r w:rsidRPr="00361047">
        <w:rPr>
          <w:rFonts w:ascii="Times New Roman" w:hAnsi="Times New Roman" w:cs="Times New Roman"/>
          <w:lang w:val="it-IT"/>
        </w:rPr>
        <w:t xml:space="preserve"> e dei richiedenti asilo lo ha rafforzato e irrigidito,</w:t>
      </w:r>
      <w:r w:rsidR="007872FE" w:rsidRPr="00361047">
        <w:rPr>
          <w:rFonts w:ascii="Times New Roman" w:hAnsi="Times New Roman" w:cs="Times New Roman"/>
          <w:lang w:val="it-IT"/>
        </w:rPr>
        <w:t xml:space="preserve"> </w:t>
      </w:r>
      <w:r w:rsidRPr="00361047">
        <w:rPr>
          <w:rFonts w:ascii="Times New Roman" w:hAnsi="Times New Roman" w:cs="Times New Roman"/>
          <w:lang w:val="it-IT"/>
        </w:rPr>
        <w:t>anche a causa di una certa prevalenza di funzionari dei Ministeri dell’interno nelle istituzioni ed organismi dell’Unione</w:t>
      </w:r>
      <w:r w:rsidR="00C45FDA" w:rsidRPr="00361047">
        <w:rPr>
          <w:rFonts w:ascii="Times New Roman" w:hAnsi="Times New Roman" w:cs="Times New Roman"/>
          <w:lang w:val="it-IT"/>
        </w:rPr>
        <w:t xml:space="preserve"> competenti per l’esercizio di tali </w:t>
      </w:r>
      <w:r w:rsidRPr="00361047">
        <w:rPr>
          <w:rFonts w:ascii="Times New Roman" w:hAnsi="Times New Roman" w:cs="Times New Roman"/>
          <w:lang w:val="it-IT"/>
        </w:rPr>
        <w:t>politiche</w:t>
      </w:r>
      <w:r w:rsidR="007872FE" w:rsidRPr="00361047">
        <w:rPr>
          <w:rStyle w:val="Rimandonotaapidipagina"/>
          <w:rFonts w:ascii="Times New Roman" w:hAnsi="Times New Roman" w:cs="Times New Roman"/>
        </w:rPr>
        <w:footnoteReference w:id="5"/>
      </w:r>
      <w:r w:rsidR="0038099F" w:rsidRPr="00361047">
        <w:rPr>
          <w:rFonts w:ascii="Times New Roman" w:hAnsi="Times New Roman" w:cs="Times New Roman"/>
          <w:lang w:val="it-IT"/>
        </w:rPr>
        <w:t>.</w:t>
      </w:r>
    </w:p>
    <w:p w14:paraId="1A992179" w14:textId="0307B59C" w:rsidR="00895207" w:rsidRPr="00361047" w:rsidRDefault="003F2214" w:rsidP="00806AD2">
      <w:pPr>
        <w:spacing w:after="0" w:line="240" w:lineRule="auto"/>
        <w:ind w:firstLine="397"/>
        <w:jc w:val="both"/>
        <w:rPr>
          <w:rFonts w:ascii="Times New Roman" w:hAnsi="Times New Roman" w:cs="Times New Roman"/>
          <w:lang w:val="it-IT"/>
        </w:rPr>
      </w:pPr>
      <w:r w:rsidRPr="00361047">
        <w:rPr>
          <w:rFonts w:ascii="Times New Roman" w:hAnsi="Times New Roman" w:cs="Times New Roman"/>
          <w:lang w:val="it-IT"/>
        </w:rPr>
        <w:t xml:space="preserve">Nonostante che </w:t>
      </w:r>
      <w:r w:rsidR="00041068" w:rsidRPr="00361047">
        <w:rPr>
          <w:rFonts w:ascii="Times New Roman" w:hAnsi="Times New Roman" w:cs="Times New Roman"/>
          <w:lang w:val="it-IT"/>
        </w:rPr>
        <w:t>l</w:t>
      </w:r>
      <w:r w:rsidRPr="00361047">
        <w:rPr>
          <w:rFonts w:ascii="Times New Roman" w:hAnsi="Times New Roman" w:cs="Times New Roman"/>
          <w:lang w:val="it-IT"/>
        </w:rPr>
        <w:t>a politica di asilo sia configurata come una competenza concorrente</w:t>
      </w:r>
      <w:r w:rsidR="000A0D9C" w:rsidRPr="00361047">
        <w:rPr>
          <w:rFonts w:ascii="Times New Roman" w:hAnsi="Times New Roman" w:cs="Times New Roman"/>
          <w:lang w:val="it-IT"/>
        </w:rPr>
        <w:t>,</w:t>
      </w:r>
      <w:r w:rsidRPr="00361047">
        <w:rPr>
          <w:rFonts w:ascii="Times New Roman" w:hAnsi="Times New Roman" w:cs="Times New Roman"/>
          <w:lang w:val="it-IT"/>
        </w:rPr>
        <w:t xml:space="preserve"> che può essere esercitata attraverso l’adozio</w:t>
      </w:r>
      <w:r w:rsidR="00315432" w:rsidRPr="00361047">
        <w:rPr>
          <w:rFonts w:ascii="Times New Roman" w:hAnsi="Times New Roman" w:cs="Times New Roman"/>
          <w:lang w:val="it-IT"/>
        </w:rPr>
        <w:t>ne di qualsiasi atto legislativo</w:t>
      </w:r>
      <w:r w:rsidRPr="00361047">
        <w:rPr>
          <w:rFonts w:ascii="Times New Roman" w:hAnsi="Times New Roman" w:cs="Times New Roman"/>
          <w:lang w:val="it-IT"/>
        </w:rPr>
        <w:t>, incluse norme di armonizzazione delle legislazioni nazionali</w:t>
      </w:r>
      <w:r w:rsidR="002044BB" w:rsidRPr="00361047">
        <w:rPr>
          <w:rFonts w:ascii="Times New Roman" w:hAnsi="Times New Roman" w:cs="Times New Roman"/>
          <w:lang w:val="it-IT"/>
        </w:rPr>
        <w:t>,</w:t>
      </w:r>
      <w:r w:rsidRPr="00361047">
        <w:rPr>
          <w:rFonts w:ascii="Times New Roman" w:hAnsi="Times New Roman" w:cs="Times New Roman"/>
          <w:lang w:val="it-IT"/>
        </w:rPr>
        <w:t xml:space="preserve"> in conformità ai principi di proporzionalità e di sussidiarietà, </w:t>
      </w:r>
      <w:r w:rsidR="002044BB" w:rsidRPr="00361047">
        <w:rPr>
          <w:rFonts w:ascii="Times New Roman" w:hAnsi="Times New Roman" w:cs="Times New Roman"/>
          <w:lang w:val="it-IT"/>
        </w:rPr>
        <w:t xml:space="preserve">l’approvazione degli atti da parte delle istituzioni europee si è rivelata sempre molto difficile, forse più che in altri settori di competenza dell’Unione. </w:t>
      </w:r>
    </w:p>
    <w:p w14:paraId="70C91894" w14:textId="77777777" w:rsidR="000A0D9C" w:rsidRPr="00361047" w:rsidRDefault="002044BB" w:rsidP="00806AD2">
      <w:pPr>
        <w:spacing w:after="0" w:line="240" w:lineRule="auto"/>
        <w:ind w:firstLine="397"/>
        <w:jc w:val="both"/>
        <w:rPr>
          <w:rFonts w:ascii="Times New Roman" w:hAnsi="Times New Roman" w:cs="Times New Roman"/>
          <w:lang w:val="it-IT"/>
        </w:rPr>
      </w:pPr>
      <w:r w:rsidRPr="00361047">
        <w:rPr>
          <w:rFonts w:ascii="Times New Roman" w:hAnsi="Times New Roman" w:cs="Times New Roman"/>
          <w:lang w:val="it-IT"/>
        </w:rPr>
        <w:t>In particolare, la tendenza all’interno del Consiglio ad approvare all’unanimità le propos</w:t>
      </w:r>
      <w:r w:rsidR="00041068" w:rsidRPr="00361047">
        <w:rPr>
          <w:rFonts w:ascii="Times New Roman" w:hAnsi="Times New Roman" w:cs="Times New Roman"/>
          <w:lang w:val="it-IT"/>
        </w:rPr>
        <w:t>te presentate dalla Commissione</w:t>
      </w:r>
      <w:r w:rsidRPr="00361047">
        <w:rPr>
          <w:rFonts w:ascii="Times New Roman" w:hAnsi="Times New Roman" w:cs="Times New Roman"/>
          <w:lang w:val="it-IT"/>
        </w:rPr>
        <w:t xml:space="preserve"> ha reso impossibile creare un’autentica politica comune</w:t>
      </w:r>
      <w:r w:rsidR="000A0D9C" w:rsidRPr="00361047">
        <w:rPr>
          <w:rFonts w:ascii="Times New Roman" w:hAnsi="Times New Roman" w:cs="Times New Roman"/>
          <w:lang w:val="it-IT"/>
        </w:rPr>
        <w:t xml:space="preserve"> non dipendente da</w:t>
      </w:r>
      <w:r w:rsidRPr="00361047">
        <w:rPr>
          <w:rFonts w:ascii="Times New Roman" w:hAnsi="Times New Roman" w:cs="Times New Roman"/>
          <w:lang w:val="it-IT"/>
        </w:rPr>
        <w:t>gli interessi particolari dei singoli Stati. Lo stallo nella riforma</w:t>
      </w:r>
      <w:r w:rsidR="000A0D9C" w:rsidRPr="00361047">
        <w:rPr>
          <w:rFonts w:ascii="Times New Roman" w:hAnsi="Times New Roman" w:cs="Times New Roman"/>
          <w:lang w:val="it-IT"/>
        </w:rPr>
        <w:t xml:space="preserve"> del regolamento Dublino ne è un esempio </w:t>
      </w:r>
      <w:r w:rsidRPr="00361047">
        <w:rPr>
          <w:rFonts w:ascii="Times New Roman" w:hAnsi="Times New Roman" w:cs="Times New Roman"/>
          <w:lang w:val="it-IT"/>
        </w:rPr>
        <w:t xml:space="preserve">lampante, con la Commissione europea sempre più appiattita sulle posizioni dei Governi, a loro volta invece neanche capaci di trovare un </w:t>
      </w:r>
      <w:r w:rsidRPr="00361047">
        <w:rPr>
          <w:rFonts w:ascii="Times New Roman" w:hAnsi="Times New Roman" w:cs="Times New Roman"/>
          <w:lang w:val="it-IT"/>
        </w:rPr>
        <w:lastRenderedPageBreak/>
        <w:t xml:space="preserve">accordo al loro interno. E non sorprende </w:t>
      </w:r>
      <w:r w:rsidR="000A0D9C" w:rsidRPr="00361047">
        <w:rPr>
          <w:rFonts w:ascii="Times New Roman" w:hAnsi="Times New Roman" w:cs="Times New Roman"/>
          <w:lang w:val="it-IT"/>
        </w:rPr>
        <w:t xml:space="preserve">così </w:t>
      </w:r>
      <w:r w:rsidRPr="00361047">
        <w:rPr>
          <w:rFonts w:ascii="Times New Roman" w:hAnsi="Times New Roman" w:cs="Times New Roman"/>
          <w:lang w:val="it-IT"/>
        </w:rPr>
        <w:t>che le proposte di modifica più innovative siano state presentate dal Parlamento europeo, che ha dimostrato una lungimiranza di vedute ed una capacità di trovare consenso tra deputati appartene</w:t>
      </w:r>
      <w:r w:rsidR="000A0D9C" w:rsidRPr="00361047">
        <w:rPr>
          <w:rFonts w:ascii="Times New Roman" w:hAnsi="Times New Roman" w:cs="Times New Roman"/>
          <w:lang w:val="it-IT"/>
        </w:rPr>
        <w:t>nti a famiglie politiche diverse</w:t>
      </w:r>
      <w:r w:rsidRPr="00361047">
        <w:rPr>
          <w:rFonts w:ascii="Times New Roman" w:hAnsi="Times New Roman" w:cs="Times New Roman"/>
          <w:lang w:val="it-IT"/>
        </w:rPr>
        <w:t xml:space="preserve"> e di diversa provenienza geografica. A dimostrazione che non è tanto l’Unione ad essere divisa in materia di immigrazione e asilo, quanto specificamente i Governi dell’Un</w:t>
      </w:r>
      <w:r w:rsidR="000A0D9C" w:rsidRPr="00361047">
        <w:rPr>
          <w:rFonts w:ascii="Times New Roman" w:hAnsi="Times New Roman" w:cs="Times New Roman"/>
          <w:lang w:val="it-IT"/>
        </w:rPr>
        <w:t>ione all’interno del Consiglio.</w:t>
      </w:r>
    </w:p>
    <w:p w14:paraId="4AAEA849" w14:textId="15663141" w:rsidR="000A0D9C" w:rsidRPr="00361047" w:rsidRDefault="002044BB" w:rsidP="00806AD2">
      <w:pPr>
        <w:spacing w:after="0" w:line="240" w:lineRule="auto"/>
        <w:ind w:firstLine="397"/>
        <w:jc w:val="both"/>
        <w:rPr>
          <w:rFonts w:ascii="Times New Roman" w:hAnsi="Times New Roman" w:cs="Times New Roman"/>
          <w:lang w:val="it-IT"/>
        </w:rPr>
      </w:pPr>
      <w:r w:rsidRPr="00361047">
        <w:rPr>
          <w:rFonts w:ascii="Times New Roman" w:hAnsi="Times New Roman" w:cs="Times New Roman"/>
          <w:lang w:val="it-IT"/>
        </w:rPr>
        <w:t>Si consideri che il regolamento Dublino, detto Dublino III, attualmente in vigore</w:t>
      </w:r>
      <w:r w:rsidR="000A0D9C" w:rsidRPr="00361047">
        <w:rPr>
          <w:rFonts w:ascii="Times New Roman" w:hAnsi="Times New Roman" w:cs="Times New Roman"/>
          <w:lang w:val="it-IT"/>
        </w:rPr>
        <w:t>,</w:t>
      </w:r>
      <w:r w:rsidRPr="00361047">
        <w:rPr>
          <w:rFonts w:ascii="Times New Roman" w:hAnsi="Times New Roman" w:cs="Times New Roman"/>
          <w:lang w:val="it-IT"/>
        </w:rPr>
        <w:t xml:space="preserve"> dispone regole e criteri per determinare lo Stato competente ad esaminare una domanda di protezione internazionale</w:t>
      </w:r>
      <w:r w:rsidR="000A0D9C" w:rsidRPr="00361047">
        <w:rPr>
          <w:rFonts w:ascii="Times New Roman" w:hAnsi="Times New Roman" w:cs="Times New Roman"/>
          <w:lang w:val="it-IT"/>
        </w:rPr>
        <w:t>,</w:t>
      </w:r>
      <w:r w:rsidRPr="00361047">
        <w:rPr>
          <w:rFonts w:ascii="Times New Roman" w:hAnsi="Times New Roman" w:cs="Times New Roman"/>
          <w:lang w:val="it-IT"/>
        </w:rPr>
        <w:t xml:space="preserve"> concordate attraverso un accordo internazionale nel 1990</w:t>
      </w:r>
      <w:r w:rsidR="000A0D9C" w:rsidRPr="00361047">
        <w:rPr>
          <w:rFonts w:ascii="Times New Roman" w:hAnsi="Times New Roman" w:cs="Times New Roman"/>
          <w:lang w:val="it-IT"/>
        </w:rPr>
        <w:t>,</w:t>
      </w:r>
      <w:r w:rsidRPr="00361047">
        <w:rPr>
          <w:rFonts w:ascii="Times New Roman" w:hAnsi="Times New Roman" w:cs="Times New Roman"/>
          <w:lang w:val="it-IT"/>
        </w:rPr>
        <w:t xml:space="preserve"> poi incorporato nell’ordinamento dell’Unione e geneticamente trasformato da accordo internazionale in un regolamento UE. Tuttavia, la trasformazione giuridica e l’innesto nel diritto UE non ne ha determinato una modifica di contenuto, come invece ci si sarebbe aspettato: gli atti dell’UE infatti sono diversi rispetto a quelli adottati nell’ambito della cooperazione intergovernativa, non solo perché ne è diversa la fonte e, dunque, la sua efficacia, ma anche perché diverso dovrebbe esserne il contenuto, ispirato non dalla ricerca del consenso tra i Governi </w:t>
      </w:r>
      <w:r w:rsidR="00315432" w:rsidRPr="00361047">
        <w:rPr>
          <w:rFonts w:ascii="Times New Roman" w:hAnsi="Times New Roman" w:cs="Times New Roman"/>
          <w:lang w:val="it-IT"/>
        </w:rPr>
        <w:t xml:space="preserve">attraverso una quasi impossibile </w:t>
      </w:r>
      <w:r w:rsidRPr="00361047">
        <w:rPr>
          <w:rFonts w:ascii="Times New Roman" w:hAnsi="Times New Roman" w:cs="Times New Roman"/>
          <w:lang w:val="it-IT"/>
        </w:rPr>
        <w:t xml:space="preserve">sommatoria degli interessi nazionali, ma dal perseguimento degli obbiettivi dell’Unione come emergono </w:t>
      </w:r>
      <w:r w:rsidRPr="00361047">
        <w:rPr>
          <w:rFonts w:ascii="Times New Roman" w:hAnsi="Times New Roman" w:cs="Times New Roman"/>
          <w:i/>
          <w:lang w:val="it-IT"/>
        </w:rPr>
        <w:t>in primis</w:t>
      </w:r>
      <w:r w:rsidRPr="00361047">
        <w:rPr>
          <w:rFonts w:ascii="Times New Roman" w:hAnsi="Times New Roman" w:cs="Times New Roman"/>
          <w:lang w:val="it-IT"/>
        </w:rPr>
        <w:t xml:space="preserve"> dall’art. 3 TUE. Dublino è invece rimasto sostanzialmente tale e quale,</w:t>
      </w:r>
      <w:r w:rsidR="00207D6F" w:rsidRPr="00361047">
        <w:rPr>
          <w:rFonts w:ascii="Times New Roman" w:hAnsi="Times New Roman" w:cs="Times New Roman"/>
          <w:lang w:val="it-IT"/>
        </w:rPr>
        <w:t xml:space="preserve"> in particolare identici sono rimasti i criteri di determinazione dello Stato competente</w:t>
      </w:r>
      <w:r w:rsidR="00255BB8" w:rsidRPr="00361047">
        <w:rPr>
          <w:rFonts w:ascii="Times New Roman" w:hAnsi="Times New Roman" w:cs="Times New Roman"/>
          <w:lang w:val="it-IT"/>
        </w:rPr>
        <w:t>. E ciò</w:t>
      </w:r>
      <w:r w:rsidR="00207D6F" w:rsidRPr="00361047">
        <w:rPr>
          <w:rFonts w:ascii="Times New Roman" w:hAnsi="Times New Roman" w:cs="Times New Roman"/>
          <w:lang w:val="it-IT"/>
        </w:rPr>
        <w:t xml:space="preserve">, </w:t>
      </w:r>
      <w:r w:rsidRPr="00361047">
        <w:rPr>
          <w:rFonts w:ascii="Times New Roman" w:hAnsi="Times New Roman" w:cs="Times New Roman"/>
          <w:lang w:val="it-IT"/>
        </w:rPr>
        <w:t xml:space="preserve">nonostante </w:t>
      </w:r>
      <w:r w:rsidR="00255BB8" w:rsidRPr="00361047">
        <w:rPr>
          <w:rFonts w:ascii="Times New Roman" w:hAnsi="Times New Roman" w:cs="Times New Roman"/>
          <w:lang w:val="it-IT"/>
        </w:rPr>
        <w:t xml:space="preserve">che </w:t>
      </w:r>
      <w:r w:rsidRPr="00361047">
        <w:rPr>
          <w:rFonts w:ascii="Times New Roman" w:hAnsi="Times New Roman" w:cs="Times New Roman"/>
          <w:lang w:val="it-IT"/>
        </w:rPr>
        <w:t xml:space="preserve">l’esigenza di </w:t>
      </w:r>
      <w:r w:rsidR="00255BB8" w:rsidRPr="00361047">
        <w:rPr>
          <w:rFonts w:ascii="Times New Roman" w:hAnsi="Times New Roman" w:cs="Times New Roman"/>
          <w:lang w:val="it-IT"/>
        </w:rPr>
        <w:t xml:space="preserve">una </w:t>
      </w:r>
      <w:r w:rsidRPr="00361047">
        <w:rPr>
          <w:rFonts w:ascii="Times New Roman" w:hAnsi="Times New Roman" w:cs="Times New Roman"/>
          <w:lang w:val="it-IT"/>
        </w:rPr>
        <w:t>modifica sia radicale dato il suo certificato fallimento e il contesto profondamente cambiato rispetto agli anni ’90.</w:t>
      </w:r>
      <w:r w:rsidR="00830B34" w:rsidRPr="00361047">
        <w:rPr>
          <w:rFonts w:ascii="Times New Roman" w:hAnsi="Times New Roman" w:cs="Times New Roman"/>
          <w:lang w:val="it-IT"/>
        </w:rPr>
        <w:t xml:space="preserve"> </w:t>
      </w:r>
    </w:p>
    <w:p w14:paraId="195AB42A" w14:textId="46441648" w:rsidR="00830B34" w:rsidRPr="00361047" w:rsidRDefault="00830B34" w:rsidP="00806AD2">
      <w:pPr>
        <w:spacing w:after="0" w:line="240" w:lineRule="auto"/>
        <w:ind w:firstLine="397"/>
        <w:jc w:val="both"/>
        <w:rPr>
          <w:rFonts w:ascii="Times New Roman" w:hAnsi="Times New Roman" w:cs="Times New Roman"/>
          <w:lang w:val="it-IT"/>
        </w:rPr>
      </w:pPr>
      <w:r w:rsidRPr="00361047">
        <w:rPr>
          <w:rFonts w:ascii="Times New Roman" w:hAnsi="Times New Roman" w:cs="Times New Roman"/>
          <w:lang w:val="it-IT"/>
        </w:rPr>
        <w:t>La stessa impasse all’interno del Consiglio si è registrata rispetto alla proposta di direttiva presentata nel 2014 dalla Commissione europea, volta a modificare il regolamento Dublino nell’ipotesi di richiesta di protezione internazionale presentata da un minore non accompagnato</w:t>
      </w:r>
      <w:r w:rsidRPr="00361047">
        <w:rPr>
          <w:rStyle w:val="Rimandonotaapidipagina"/>
          <w:rFonts w:ascii="Times New Roman" w:hAnsi="Times New Roman" w:cs="Times New Roman"/>
        </w:rPr>
        <w:footnoteReference w:id="6"/>
      </w:r>
      <w:r w:rsidRPr="00361047">
        <w:rPr>
          <w:rFonts w:ascii="Times New Roman" w:hAnsi="Times New Roman" w:cs="Times New Roman"/>
          <w:lang w:val="it-IT"/>
        </w:rPr>
        <w:t xml:space="preserve">. Tale proposta mirava a recepire </w:t>
      </w:r>
      <w:r w:rsidR="00B701C0" w:rsidRPr="00361047">
        <w:rPr>
          <w:rFonts w:ascii="Times New Roman" w:hAnsi="Times New Roman" w:cs="Times New Roman"/>
          <w:lang w:val="it-IT"/>
        </w:rPr>
        <w:t>un</w:t>
      </w:r>
      <w:r w:rsidRPr="00361047">
        <w:rPr>
          <w:rFonts w:ascii="Times New Roman" w:hAnsi="Times New Roman" w:cs="Times New Roman"/>
          <w:lang w:val="it-IT"/>
        </w:rPr>
        <w:t xml:space="preserve"> fondamentale principio affermato dalla Corte di giustizia nella </w:t>
      </w:r>
      <w:r w:rsidR="00176E11" w:rsidRPr="00361047">
        <w:rPr>
          <w:rFonts w:ascii="Times New Roman" w:hAnsi="Times New Roman" w:cs="Times New Roman"/>
          <w:lang w:val="it-IT"/>
        </w:rPr>
        <w:t xml:space="preserve">sentenza </w:t>
      </w:r>
      <w:r w:rsidRPr="00361047">
        <w:rPr>
          <w:rFonts w:ascii="Times New Roman" w:hAnsi="Times New Roman" w:cs="Times New Roman"/>
          <w:i/>
          <w:lang w:val="it-IT"/>
        </w:rPr>
        <w:t>M.A.</w:t>
      </w:r>
      <w:r w:rsidRPr="00361047">
        <w:rPr>
          <w:rStyle w:val="Rimandonotaapidipagina"/>
          <w:rFonts w:ascii="Times New Roman" w:hAnsi="Times New Roman" w:cs="Times New Roman"/>
        </w:rPr>
        <w:footnoteReference w:id="7"/>
      </w:r>
      <w:r w:rsidR="00FF06A6" w:rsidRPr="00361047">
        <w:rPr>
          <w:rFonts w:ascii="Times New Roman" w:hAnsi="Times New Roman" w:cs="Times New Roman"/>
          <w:iCs/>
          <w:lang w:val="it-IT"/>
        </w:rPr>
        <w:t>.</w:t>
      </w:r>
      <w:r w:rsidRPr="00361047">
        <w:rPr>
          <w:rFonts w:ascii="Times New Roman" w:hAnsi="Times New Roman" w:cs="Times New Roman"/>
          <w:lang w:val="it-IT"/>
        </w:rPr>
        <w:t xml:space="preserve"> La Corte ha ivi ritenuto che in caso di minori non accompagnati privi di familiari nell’Unione Europea, lo Stato membro nel quale il minore si trova è obbligato a procedere all’esame della domanda di protezione internazionale, sebbene lo stesso minore abbia già presentato domanda in un altro Stato membro; la Corte ha sottolineato la vulnerabilità dei soggetti in questione e l’obbligo esistente in capo agli Stati di agire nel loro interesse superiore</w:t>
      </w:r>
      <w:r w:rsidRPr="00361047">
        <w:rPr>
          <w:rStyle w:val="Rimandonotaapidipagina"/>
          <w:rFonts w:ascii="Times New Roman" w:hAnsi="Times New Roman" w:cs="Times New Roman"/>
        </w:rPr>
        <w:footnoteReference w:id="8"/>
      </w:r>
      <w:r w:rsidRPr="00361047">
        <w:rPr>
          <w:rFonts w:ascii="Times New Roman" w:hAnsi="Times New Roman" w:cs="Times New Roman"/>
          <w:lang w:val="it-IT"/>
        </w:rPr>
        <w:t xml:space="preserve">. La sentenza è molto interessante </w:t>
      </w:r>
      <w:r w:rsidR="0029218F" w:rsidRPr="00361047">
        <w:rPr>
          <w:rFonts w:ascii="Times New Roman" w:hAnsi="Times New Roman" w:cs="Times New Roman"/>
          <w:lang w:val="it-IT"/>
        </w:rPr>
        <w:t xml:space="preserve">non solo </w:t>
      </w:r>
      <w:r w:rsidRPr="00361047">
        <w:rPr>
          <w:rFonts w:ascii="Times New Roman" w:hAnsi="Times New Roman" w:cs="Times New Roman"/>
          <w:lang w:val="it-IT"/>
        </w:rPr>
        <w:t xml:space="preserve">perché la Corte valorizza gli elementi testuali presenti nel regolamento, in particolare il considerando n. 15 che conferma il necessario rispetto dei diritti fondamentali </w:t>
      </w:r>
      <w:r w:rsidRPr="00361047">
        <w:rPr>
          <w:rFonts w:ascii="Times New Roman" w:hAnsi="Times New Roman" w:cs="Times New Roman"/>
          <w:lang w:val="it-IT"/>
        </w:rPr>
        <w:lastRenderedPageBreak/>
        <w:t>e dei principi riconosciuti dalla Carta, ma soprattutto per l’interpretazione dell’art. 6(2) del regolamento alla luce dell’art. 24(2)</w:t>
      </w:r>
      <w:r w:rsidR="001146A0" w:rsidRPr="00361047">
        <w:rPr>
          <w:rFonts w:ascii="Times New Roman" w:hAnsi="Times New Roman" w:cs="Times New Roman"/>
          <w:lang w:val="it-IT"/>
        </w:rPr>
        <w:t xml:space="preserve"> della Carta</w:t>
      </w:r>
      <w:r w:rsidRPr="00361047">
        <w:rPr>
          <w:rFonts w:ascii="Times New Roman" w:hAnsi="Times New Roman" w:cs="Times New Roman"/>
          <w:lang w:val="it-IT"/>
        </w:rPr>
        <w:t xml:space="preserve">: in tutti gli atti relativi ai minori, siano essi compiuti da autorità pubbliche o da istituzioni private, l’interesse superiore del minore deve essere considerato preminente. Secondo la Corte, </w:t>
      </w:r>
      <w:r w:rsidR="005D6F01" w:rsidRPr="00361047">
        <w:rPr>
          <w:rFonts w:ascii="Times New Roman" w:hAnsi="Times New Roman" w:cs="Times New Roman"/>
          <w:lang w:val="it-IT"/>
        </w:rPr>
        <w:t>“</w:t>
      </w:r>
      <w:r w:rsidRPr="00361047">
        <w:rPr>
          <w:rFonts w:ascii="Times New Roman" w:hAnsi="Times New Roman" w:cs="Times New Roman"/>
          <w:lang w:val="it-IT"/>
        </w:rPr>
        <w:t>benché l’interesse del minore sia menzionato esplicitamente solo al primo comma dell’articolo 6 del regolamento n. 343/2003, l’articolo 24, paragrafo 2, della Carta, letto in combinato disposto con l’articolo 51, paragrafo 1, di quest’ultima, produce l’effetto che, in tutte le decisioni che adottano gli Stati membri sul fondamento del secondo comma del citato articolo 6, l’interesse superiore del minore deve parimenti essere considerato preminente. Tale presa in considerazione dell’interesse superiore del minore impone, in linea di principio, che, in circostanze come quelle che caratterizzano la situazione dei ricorrenti in via principale, l’articolo 6, secondo comma, del regolamento n. 343/2003 sia interpretato nel senso che designa come competente lo Stato membro nel quale il minore si trova dopo avervi presentato una domanda»</w:t>
      </w:r>
      <w:r w:rsidRPr="00361047">
        <w:rPr>
          <w:rStyle w:val="Rimandonotaapidipagina"/>
          <w:rFonts w:ascii="Times New Roman" w:hAnsi="Times New Roman" w:cs="Times New Roman"/>
        </w:rPr>
        <w:footnoteReference w:id="9"/>
      </w:r>
      <w:r w:rsidRPr="00361047">
        <w:rPr>
          <w:rFonts w:ascii="Times New Roman" w:hAnsi="Times New Roman" w:cs="Times New Roman"/>
          <w:lang w:val="it-IT"/>
        </w:rPr>
        <w:t>. Tuttavia, in mancanza di accordo tra le istituzioni ma, ancora una volta, soprattutto tra i Governi all’interno del Consiglio, la proposta della Commissione del 2014 non è mai stata approvata ed il testo del regolamento è rimasto invariato. Addirittura, la Commissione nel 2016, nell’introdurre il pacchetto di riforma del sistema europeo di asilo, giunge ad affermare che</w:t>
      </w:r>
      <w:r w:rsidR="00925D3A" w:rsidRPr="00361047">
        <w:rPr>
          <w:rFonts w:ascii="Times New Roman" w:hAnsi="Times New Roman" w:cs="Times New Roman"/>
          <w:lang w:val="it-IT"/>
        </w:rPr>
        <w:t>:</w:t>
      </w:r>
      <w:r w:rsidRPr="00361047">
        <w:rPr>
          <w:rFonts w:ascii="Times New Roman" w:hAnsi="Times New Roman" w:cs="Times New Roman"/>
          <w:lang w:val="it-IT"/>
        </w:rPr>
        <w:t xml:space="preserve"> «Dato che tale norma differisce da quanto previsto nella proposta della Commissione del giugno 2014, la Commissione intende ritirare quest’ultima, sulla quale è stato finora impos</w:t>
      </w:r>
      <w:r w:rsidR="009A3989" w:rsidRPr="00361047">
        <w:rPr>
          <w:rFonts w:ascii="Times New Roman" w:hAnsi="Times New Roman" w:cs="Times New Roman"/>
          <w:lang w:val="it-IT"/>
        </w:rPr>
        <w:t>sibile raggiungere un accordo»</w:t>
      </w:r>
      <w:r w:rsidR="009A3989" w:rsidRPr="00361047">
        <w:rPr>
          <w:rStyle w:val="Rimandonotaapidipagina"/>
          <w:rFonts w:ascii="Times New Roman" w:hAnsi="Times New Roman" w:cs="Times New Roman"/>
          <w:lang w:val="it-IT"/>
        </w:rPr>
        <w:footnoteReference w:id="10"/>
      </w:r>
      <w:r w:rsidR="00925D3A" w:rsidRPr="00361047">
        <w:rPr>
          <w:rFonts w:ascii="Times New Roman" w:hAnsi="Times New Roman" w:cs="Times New Roman"/>
          <w:lang w:val="it-IT"/>
        </w:rPr>
        <w:t>.</w:t>
      </w:r>
      <w:r w:rsidR="00304C9C" w:rsidRPr="00361047">
        <w:rPr>
          <w:rFonts w:ascii="Times New Roman" w:hAnsi="Times New Roman" w:cs="Times New Roman"/>
          <w:lang w:val="it-IT"/>
        </w:rPr>
        <w:t xml:space="preserve"> Un caso questo che dimostra lo iato esistente tra lo standard di tutela dei diritti fondamentali espresso nelle fonti internazionali ed europee e la tutela effettiva prevista nella legislazione secondaria dell’Unione europea, nonché le resistenze da parte delle istituzioni politiche ad adeguarsi a tale standard</w:t>
      </w:r>
      <w:r w:rsidR="00E52A7E" w:rsidRPr="00361047">
        <w:rPr>
          <w:rFonts w:ascii="Times New Roman" w:hAnsi="Times New Roman" w:cs="Times New Roman"/>
          <w:lang w:val="it-IT"/>
        </w:rPr>
        <w:t xml:space="preserve">. </w:t>
      </w:r>
      <w:r w:rsidR="00E77809" w:rsidRPr="00361047">
        <w:rPr>
          <w:rFonts w:ascii="Times New Roman" w:hAnsi="Times New Roman" w:cs="Times New Roman"/>
          <w:lang w:val="it-IT"/>
        </w:rPr>
        <w:t xml:space="preserve">Così che, invece di un circuito virtuoso tra giurisdizione e legislativo, con il secondo che modifica, integra e adegua la normativa a quanto disposto dal primo, vi è il rischio di un circuito regressivo che può </w:t>
      </w:r>
      <w:r w:rsidR="00136632" w:rsidRPr="00361047">
        <w:rPr>
          <w:rFonts w:ascii="Times New Roman" w:hAnsi="Times New Roman" w:cs="Times New Roman"/>
          <w:lang w:val="it-IT"/>
        </w:rPr>
        <w:t xml:space="preserve">arrivare ad </w:t>
      </w:r>
      <w:r w:rsidR="00E77809" w:rsidRPr="00361047">
        <w:rPr>
          <w:rFonts w:ascii="Times New Roman" w:hAnsi="Times New Roman" w:cs="Times New Roman"/>
          <w:lang w:val="it-IT"/>
        </w:rPr>
        <w:t>esprimersi anche con una certa interpretazione restrittiva da parte della giurisdizione</w:t>
      </w:r>
      <w:r w:rsidR="00E77809" w:rsidRPr="00361047">
        <w:rPr>
          <w:rStyle w:val="Rimandonotaapidipagina"/>
          <w:rFonts w:ascii="Times New Roman" w:hAnsi="Times New Roman" w:cs="Times New Roman"/>
          <w:lang w:val="it-IT"/>
        </w:rPr>
        <w:footnoteReference w:id="11"/>
      </w:r>
      <w:r w:rsidR="00E77809" w:rsidRPr="00361047">
        <w:rPr>
          <w:rFonts w:ascii="Times New Roman" w:hAnsi="Times New Roman" w:cs="Times New Roman"/>
          <w:lang w:val="it-IT"/>
        </w:rPr>
        <w:t xml:space="preserve">. </w:t>
      </w:r>
    </w:p>
    <w:p w14:paraId="14C19787" w14:textId="3743F727" w:rsidR="003D7DC4" w:rsidRPr="00361047" w:rsidRDefault="008740D8" w:rsidP="00806AD2">
      <w:pPr>
        <w:spacing w:after="0" w:line="240" w:lineRule="auto"/>
        <w:ind w:firstLine="397"/>
        <w:jc w:val="both"/>
        <w:rPr>
          <w:rFonts w:ascii="Times New Roman" w:hAnsi="Times New Roman" w:cs="Times New Roman"/>
          <w:lang w:val="it-IT"/>
        </w:rPr>
      </w:pPr>
      <w:r w:rsidRPr="00361047">
        <w:rPr>
          <w:rFonts w:ascii="Times New Roman" w:hAnsi="Times New Roman" w:cs="Times New Roman"/>
          <w:lang w:val="it-IT"/>
        </w:rPr>
        <w:t xml:space="preserve">L’esame della costruzione del Sistema europeo comune di asilo </w:t>
      </w:r>
      <w:r w:rsidR="0013617C" w:rsidRPr="00361047">
        <w:rPr>
          <w:rFonts w:ascii="Times New Roman" w:hAnsi="Times New Roman" w:cs="Times New Roman"/>
          <w:lang w:val="it-IT"/>
        </w:rPr>
        <w:t xml:space="preserve">evidenzia </w:t>
      </w:r>
      <w:r w:rsidR="003D7DC4" w:rsidRPr="00361047">
        <w:rPr>
          <w:rFonts w:ascii="Times New Roman" w:hAnsi="Times New Roman" w:cs="Times New Roman"/>
          <w:lang w:val="it-IT"/>
        </w:rPr>
        <w:t>una tendenza nella legislazione dell’Unione a ridurre il livello dei diritti e delle garanzie riconosciute ai richiedenti protezione internazionale</w:t>
      </w:r>
      <w:r w:rsidR="00AE54E6" w:rsidRPr="00361047">
        <w:rPr>
          <w:rFonts w:ascii="Times New Roman" w:hAnsi="Times New Roman" w:cs="Times New Roman"/>
          <w:lang w:val="it-IT"/>
        </w:rPr>
        <w:t xml:space="preserve">, tendenza acuita nella risposta dell’Unione alla c.d. crisi dei migranti e dei richiedenti asilo che </w:t>
      </w:r>
      <w:r w:rsidR="00AE54E6" w:rsidRPr="00361047">
        <w:rPr>
          <w:rFonts w:ascii="Times New Roman" w:hAnsi="Times New Roman" w:cs="Times New Roman"/>
          <w:lang w:val="it-IT"/>
        </w:rPr>
        <w:lastRenderedPageBreak/>
        <w:t xml:space="preserve">ha raggiunto </w:t>
      </w:r>
      <w:r w:rsidR="00A21EAB" w:rsidRPr="00361047">
        <w:rPr>
          <w:rFonts w:ascii="Times New Roman" w:hAnsi="Times New Roman" w:cs="Times New Roman"/>
          <w:lang w:val="it-IT"/>
        </w:rPr>
        <w:t>la sua acme</w:t>
      </w:r>
      <w:r w:rsidR="00AE54E6" w:rsidRPr="00361047">
        <w:rPr>
          <w:rFonts w:ascii="Times New Roman" w:hAnsi="Times New Roman" w:cs="Times New Roman"/>
          <w:lang w:val="it-IT"/>
        </w:rPr>
        <w:t xml:space="preserve"> tra il 2014 e il 2017</w:t>
      </w:r>
      <w:r w:rsidR="001E782F" w:rsidRPr="00361047">
        <w:rPr>
          <w:rFonts w:ascii="Times New Roman" w:hAnsi="Times New Roman" w:cs="Times New Roman"/>
          <w:lang w:val="it-IT"/>
        </w:rPr>
        <w:t xml:space="preserve">. Il pacchetto di riforma del sistema europeo di asilo presentato </w:t>
      </w:r>
      <w:r w:rsidR="00080884" w:rsidRPr="00361047">
        <w:rPr>
          <w:rFonts w:ascii="Times New Roman" w:hAnsi="Times New Roman" w:cs="Times New Roman"/>
          <w:lang w:val="it-IT"/>
        </w:rPr>
        <w:t>nel</w:t>
      </w:r>
      <w:r w:rsidR="001E782F" w:rsidRPr="00361047">
        <w:rPr>
          <w:rFonts w:ascii="Times New Roman" w:hAnsi="Times New Roman" w:cs="Times New Roman"/>
          <w:lang w:val="it-IT"/>
        </w:rPr>
        <w:t xml:space="preserve"> 2016</w:t>
      </w:r>
      <w:r w:rsidR="00880179" w:rsidRPr="00361047">
        <w:rPr>
          <w:rFonts w:ascii="Times New Roman" w:hAnsi="Times New Roman" w:cs="Times New Roman"/>
          <w:lang w:val="it-IT"/>
        </w:rPr>
        <w:t xml:space="preserve">, </w:t>
      </w:r>
      <w:r w:rsidR="00B32543" w:rsidRPr="00361047">
        <w:rPr>
          <w:rFonts w:ascii="Times New Roman" w:hAnsi="Times New Roman" w:cs="Times New Roman"/>
          <w:lang w:val="it-IT"/>
        </w:rPr>
        <w:t xml:space="preserve">non approvato entro la fine della </w:t>
      </w:r>
      <w:r w:rsidR="00880179" w:rsidRPr="00361047">
        <w:rPr>
          <w:rFonts w:ascii="Times New Roman" w:hAnsi="Times New Roman" w:cs="Times New Roman"/>
          <w:lang w:val="it-IT"/>
        </w:rPr>
        <w:t xml:space="preserve">legislatura 2014-2019, </w:t>
      </w:r>
      <w:r w:rsidR="005C5B30" w:rsidRPr="00361047">
        <w:rPr>
          <w:rFonts w:ascii="Times New Roman" w:hAnsi="Times New Roman" w:cs="Times New Roman"/>
          <w:lang w:val="it-IT"/>
        </w:rPr>
        <w:t xml:space="preserve">ne è </w:t>
      </w:r>
      <w:r w:rsidR="002F01DF" w:rsidRPr="00361047">
        <w:rPr>
          <w:rFonts w:ascii="Times New Roman" w:hAnsi="Times New Roman" w:cs="Times New Roman"/>
          <w:lang w:val="it-IT"/>
        </w:rPr>
        <w:t>una prova cristallina</w:t>
      </w:r>
      <w:r w:rsidR="005C5B30" w:rsidRPr="00361047">
        <w:rPr>
          <w:rFonts w:ascii="Times New Roman" w:hAnsi="Times New Roman" w:cs="Times New Roman"/>
          <w:lang w:val="it-IT"/>
        </w:rPr>
        <w:t>,</w:t>
      </w:r>
      <w:r w:rsidR="0087541E" w:rsidRPr="00361047">
        <w:rPr>
          <w:rFonts w:ascii="Times New Roman" w:hAnsi="Times New Roman" w:cs="Times New Roman"/>
          <w:lang w:val="it-IT"/>
        </w:rPr>
        <w:t xml:space="preserve"> con</w:t>
      </w:r>
      <w:r w:rsidR="002F01DF" w:rsidRPr="00361047">
        <w:rPr>
          <w:rFonts w:ascii="Times New Roman" w:hAnsi="Times New Roman" w:cs="Times New Roman"/>
          <w:lang w:val="it-IT"/>
        </w:rPr>
        <w:t xml:space="preserve"> </w:t>
      </w:r>
      <w:r w:rsidR="00AE54E6" w:rsidRPr="00361047">
        <w:rPr>
          <w:rFonts w:ascii="Times New Roman" w:hAnsi="Times New Roman" w:cs="Times New Roman"/>
          <w:lang w:val="it-IT"/>
        </w:rPr>
        <w:t xml:space="preserve">la conferma e l’irrigidimento dei criteri disposti dal regolamento Dublino, </w:t>
      </w:r>
      <w:r w:rsidR="0087541E" w:rsidRPr="00361047">
        <w:rPr>
          <w:rFonts w:ascii="Times New Roman" w:hAnsi="Times New Roman" w:cs="Times New Roman"/>
          <w:lang w:val="it-IT"/>
        </w:rPr>
        <w:t>l’</w:t>
      </w:r>
      <w:r w:rsidR="002F01DF" w:rsidRPr="00361047">
        <w:rPr>
          <w:rFonts w:ascii="Times New Roman" w:hAnsi="Times New Roman" w:cs="Times New Roman"/>
          <w:lang w:val="it-IT"/>
        </w:rPr>
        <w:t xml:space="preserve">accentuazione dei meccanismi sanzionatori, </w:t>
      </w:r>
      <w:r w:rsidR="005C5B30" w:rsidRPr="00361047">
        <w:rPr>
          <w:rFonts w:ascii="Times New Roman" w:hAnsi="Times New Roman" w:cs="Times New Roman"/>
          <w:lang w:val="it-IT"/>
        </w:rPr>
        <w:t>l’</w:t>
      </w:r>
      <w:r w:rsidR="0093606B" w:rsidRPr="00361047">
        <w:rPr>
          <w:rFonts w:ascii="Times New Roman" w:hAnsi="Times New Roman" w:cs="Times New Roman"/>
          <w:lang w:val="it-IT"/>
        </w:rPr>
        <w:t>applicazione obbligatoria dei concett</w:t>
      </w:r>
      <w:r w:rsidR="005C5B30" w:rsidRPr="00361047">
        <w:rPr>
          <w:rFonts w:ascii="Times New Roman" w:hAnsi="Times New Roman" w:cs="Times New Roman"/>
          <w:lang w:val="it-IT"/>
        </w:rPr>
        <w:t>i di Paese sicuro e la conseguent</w:t>
      </w:r>
      <w:r w:rsidR="0093606B" w:rsidRPr="00361047">
        <w:rPr>
          <w:rFonts w:ascii="Times New Roman" w:hAnsi="Times New Roman" w:cs="Times New Roman"/>
          <w:lang w:val="it-IT"/>
        </w:rPr>
        <w:t>e applicazione delle procedure di frontiera ed accelerate</w:t>
      </w:r>
      <w:r w:rsidR="0087541E" w:rsidRPr="00361047">
        <w:rPr>
          <w:rFonts w:ascii="Times New Roman" w:hAnsi="Times New Roman" w:cs="Times New Roman"/>
          <w:lang w:val="it-IT"/>
        </w:rPr>
        <w:t>. Il tutto</w:t>
      </w:r>
      <w:r w:rsidR="005C5B30" w:rsidRPr="00361047">
        <w:rPr>
          <w:rFonts w:ascii="Times New Roman" w:hAnsi="Times New Roman" w:cs="Times New Roman"/>
          <w:lang w:val="it-IT"/>
        </w:rPr>
        <w:t xml:space="preserve"> realizzato</w:t>
      </w:r>
      <w:r w:rsidR="0087541E" w:rsidRPr="00361047">
        <w:rPr>
          <w:rFonts w:ascii="Times New Roman" w:hAnsi="Times New Roman" w:cs="Times New Roman"/>
          <w:lang w:val="it-IT"/>
        </w:rPr>
        <w:t xml:space="preserve"> attraverso regolamenti e non</w:t>
      </w:r>
      <w:r w:rsidR="00BD3306" w:rsidRPr="00361047">
        <w:rPr>
          <w:rFonts w:ascii="Times New Roman" w:hAnsi="Times New Roman" w:cs="Times New Roman"/>
          <w:lang w:val="it-IT"/>
        </w:rPr>
        <w:t xml:space="preserve"> più</w:t>
      </w:r>
      <w:r w:rsidR="0087541E" w:rsidRPr="00361047">
        <w:rPr>
          <w:rFonts w:ascii="Times New Roman" w:hAnsi="Times New Roman" w:cs="Times New Roman"/>
          <w:lang w:val="it-IT"/>
        </w:rPr>
        <w:t xml:space="preserve"> direttive, </w:t>
      </w:r>
      <w:r w:rsidR="00BD3306" w:rsidRPr="00361047">
        <w:rPr>
          <w:rFonts w:ascii="Times New Roman" w:hAnsi="Times New Roman" w:cs="Times New Roman"/>
          <w:lang w:val="it-IT"/>
        </w:rPr>
        <w:t xml:space="preserve">nonché </w:t>
      </w:r>
      <w:r w:rsidR="0087541E" w:rsidRPr="00361047">
        <w:rPr>
          <w:rFonts w:ascii="Times New Roman" w:hAnsi="Times New Roman" w:cs="Times New Roman"/>
          <w:lang w:val="it-IT"/>
        </w:rPr>
        <w:t>con l’eliminazione della clausola delle disposizioni più favorevoli, che consente oggi agli Stati di introdurre o mantenere in vigore</w:t>
      </w:r>
      <w:r w:rsidR="00E169D9" w:rsidRPr="00361047">
        <w:rPr>
          <w:rFonts w:ascii="Times New Roman" w:hAnsi="Times New Roman" w:cs="Times New Roman"/>
          <w:lang w:val="it-IT"/>
        </w:rPr>
        <w:t xml:space="preserve"> norme </w:t>
      </w:r>
      <w:r w:rsidR="00E0317B" w:rsidRPr="00361047">
        <w:rPr>
          <w:rFonts w:ascii="Times New Roman" w:hAnsi="Times New Roman" w:cs="Times New Roman"/>
          <w:lang w:val="it-IT"/>
        </w:rPr>
        <w:t xml:space="preserve">nazionali </w:t>
      </w:r>
      <w:r w:rsidR="0087541E" w:rsidRPr="00361047">
        <w:rPr>
          <w:rFonts w:ascii="Times New Roman" w:hAnsi="Times New Roman" w:cs="Times New Roman"/>
          <w:lang w:val="it-IT"/>
        </w:rPr>
        <w:t xml:space="preserve">più favorevoli rispetto a quelle </w:t>
      </w:r>
      <w:r w:rsidR="00213F3A" w:rsidRPr="00361047">
        <w:rPr>
          <w:rFonts w:ascii="Times New Roman" w:hAnsi="Times New Roman" w:cs="Times New Roman"/>
          <w:lang w:val="it-IT"/>
        </w:rPr>
        <w:t>previste</w:t>
      </w:r>
      <w:r w:rsidR="0087541E" w:rsidRPr="00361047">
        <w:rPr>
          <w:rFonts w:ascii="Times New Roman" w:hAnsi="Times New Roman" w:cs="Times New Roman"/>
          <w:lang w:val="it-IT"/>
        </w:rPr>
        <w:t xml:space="preserve"> dalle direttive UE.</w:t>
      </w:r>
    </w:p>
    <w:p w14:paraId="407587D0" w14:textId="700DFF74" w:rsidR="003742F1" w:rsidRPr="00361047" w:rsidRDefault="00AD0648" w:rsidP="00806AD2">
      <w:pPr>
        <w:spacing w:after="0" w:line="240" w:lineRule="auto"/>
        <w:ind w:firstLine="708"/>
        <w:jc w:val="both"/>
        <w:rPr>
          <w:rFonts w:ascii="Times New Roman" w:hAnsi="Times New Roman" w:cs="Times New Roman"/>
          <w:lang w:val="it-IT"/>
        </w:rPr>
      </w:pPr>
      <w:r w:rsidRPr="00361047">
        <w:rPr>
          <w:rFonts w:ascii="Times New Roman" w:hAnsi="Times New Roman" w:cs="Times New Roman"/>
          <w:lang w:val="it-IT"/>
        </w:rPr>
        <w:t xml:space="preserve">Il problema </w:t>
      </w:r>
      <w:r w:rsidR="00EA1F8A" w:rsidRPr="00361047">
        <w:rPr>
          <w:rFonts w:ascii="Times New Roman" w:hAnsi="Times New Roman" w:cs="Times New Roman"/>
          <w:lang w:val="it-IT"/>
        </w:rPr>
        <w:t xml:space="preserve">è che </w:t>
      </w:r>
      <w:r w:rsidR="00E2027D" w:rsidRPr="00361047">
        <w:rPr>
          <w:rFonts w:ascii="Times New Roman" w:hAnsi="Times New Roman" w:cs="Times New Roman"/>
          <w:lang w:val="it-IT"/>
        </w:rPr>
        <w:t xml:space="preserve">lo </w:t>
      </w:r>
      <w:r w:rsidR="00E2027D" w:rsidRPr="00361047">
        <w:rPr>
          <w:rFonts w:ascii="Times New Roman" w:hAnsi="Times New Roman" w:cs="Times New Roman"/>
          <w:i/>
          <w:iCs/>
          <w:lang w:val="it-IT"/>
        </w:rPr>
        <w:t>status</w:t>
      </w:r>
      <w:r w:rsidR="00E2027D" w:rsidRPr="00361047">
        <w:rPr>
          <w:rFonts w:ascii="Times New Roman" w:hAnsi="Times New Roman" w:cs="Times New Roman"/>
          <w:lang w:val="it-IT"/>
        </w:rPr>
        <w:t xml:space="preserve"> dei cittadini di Paesi terzi è primariamente definito dalla legislazione secondaria, che può anche intervenire conferendo uno specifico contenuto ai diritti fondamentali ad essi applicabili.</w:t>
      </w:r>
      <w:r w:rsidR="00F64562" w:rsidRPr="00361047">
        <w:rPr>
          <w:rFonts w:ascii="Times New Roman" w:hAnsi="Times New Roman" w:cs="Times New Roman"/>
          <w:lang w:val="it-IT"/>
        </w:rPr>
        <w:t xml:space="preserve"> </w:t>
      </w:r>
      <w:r w:rsidR="003742F1" w:rsidRPr="00361047">
        <w:rPr>
          <w:rFonts w:ascii="Times New Roman" w:hAnsi="Times New Roman" w:cs="Times New Roman"/>
          <w:lang w:val="it-IT"/>
        </w:rPr>
        <w:t>Con riferimento alla Carta dei diritti fondamentali dell’Unione europea, oltre ai diritti specificamente riguardanti la protezione internazionale, vale a dire l’art. 18 (diritto di asilo), l’art. 19 (protezione contro le espulsioni collettive) e l’art. 4 (protezione contro l’espulsione), anche altri diritti sono ugualmente rilevanti. È questo il caso dell’art. 7 (rispetto della vita privata e familiare), l’art. 1 (diritto alla dignità), art. 24 (protezione dei minori), art. 41 (diritto ad una buona amministrazione) e art. 47 (diritto ad un ricorso giurisdizionale effettivo e al giusto processo). Questi diritti sono protetti anche nell’ambito della CEDU nonch</w:t>
      </w:r>
      <w:r w:rsidR="00361047">
        <w:rPr>
          <w:rFonts w:ascii="Times New Roman" w:hAnsi="Times New Roman" w:cs="Times New Roman"/>
          <w:lang w:val="it-IT"/>
        </w:rPr>
        <w:t>é</w:t>
      </w:r>
      <w:r w:rsidR="003742F1" w:rsidRPr="00361047">
        <w:rPr>
          <w:rFonts w:ascii="Times New Roman" w:hAnsi="Times New Roman" w:cs="Times New Roman"/>
          <w:lang w:val="it-IT"/>
        </w:rPr>
        <w:t xml:space="preserve">, a livello nazionale, nelle Costituzioni nazionali. </w:t>
      </w:r>
    </w:p>
    <w:p w14:paraId="351874A4" w14:textId="668D6C10" w:rsidR="001F631F" w:rsidRPr="00361047" w:rsidRDefault="003742F1" w:rsidP="00806AD2">
      <w:pPr>
        <w:spacing w:after="0" w:line="240" w:lineRule="auto"/>
        <w:ind w:firstLine="708"/>
        <w:jc w:val="both"/>
        <w:rPr>
          <w:rFonts w:ascii="Times New Roman" w:hAnsi="Times New Roman" w:cs="Times New Roman"/>
          <w:lang w:val="it-IT"/>
        </w:rPr>
      </w:pPr>
      <w:r w:rsidRPr="00361047">
        <w:rPr>
          <w:rFonts w:ascii="Times New Roman" w:hAnsi="Times New Roman" w:cs="Times New Roman"/>
          <w:lang w:val="it-IT"/>
        </w:rPr>
        <w:t xml:space="preserve">Poiché </w:t>
      </w:r>
      <w:r w:rsidR="009D53D9" w:rsidRPr="00361047">
        <w:rPr>
          <w:rFonts w:ascii="Times New Roman" w:hAnsi="Times New Roman" w:cs="Times New Roman"/>
          <w:lang w:val="it-IT"/>
        </w:rPr>
        <w:t>nel diritto degli stranieri vige un principio generale di libertà degli Stati di regolare l’ingresso, il trattamento e l’allontanamento dei non c</w:t>
      </w:r>
      <w:r w:rsidR="009C77D5" w:rsidRPr="00361047">
        <w:rPr>
          <w:rFonts w:ascii="Times New Roman" w:hAnsi="Times New Roman" w:cs="Times New Roman"/>
          <w:lang w:val="it-IT"/>
        </w:rPr>
        <w:t>i</w:t>
      </w:r>
      <w:r w:rsidR="009D53D9" w:rsidRPr="00361047">
        <w:rPr>
          <w:rFonts w:ascii="Times New Roman" w:hAnsi="Times New Roman" w:cs="Times New Roman"/>
          <w:lang w:val="it-IT"/>
        </w:rPr>
        <w:t>ttadini</w:t>
      </w:r>
      <w:r w:rsidR="00416B9D" w:rsidRPr="00361047">
        <w:rPr>
          <w:rFonts w:ascii="Times New Roman" w:hAnsi="Times New Roman" w:cs="Times New Roman"/>
          <w:lang w:val="it-IT"/>
        </w:rPr>
        <w:t xml:space="preserve">, </w:t>
      </w:r>
      <w:r w:rsidR="009D53D9" w:rsidRPr="00361047">
        <w:rPr>
          <w:rFonts w:ascii="Times New Roman" w:hAnsi="Times New Roman" w:cs="Times New Roman"/>
          <w:lang w:val="it-IT"/>
        </w:rPr>
        <w:t xml:space="preserve">i diritti umani </w:t>
      </w:r>
      <w:r w:rsidR="00416B9D" w:rsidRPr="00361047">
        <w:rPr>
          <w:rFonts w:ascii="Times New Roman" w:hAnsi="Times New Roman" w:cs="Times New Roman"/>
          <w:lang w:val="it-IT"/>
        </w:rPr>
        <w:t xml:space="preserve">in tale settore </w:t>
      </w:r>
      <w:r w:rsidR="009D53D9" w:rsidRPr="00361047">
        <w:rPr>
          <w:rFonts w:ascii="Times New Roman" w:hAnsi="Times New Roman" w:cs="Times New Roman"/>
          <w:lang w:val="it-IT"/>
        </w:rPr>
        <w:t>fungono da limite ad azioni statali che sono generalmente dirette al contenimento dei flussi, al contrasto dell’immigrazione irregolare ed al controllo del territorio. Diversamente avviene per i cittadini per i quali i diritti umani si inseriscono in un solido corpus di diritti e libertà, spesso esaltandolo. Questa dinamica osservabile a livello statale si riproduce anche a livello di ordinamento europeo, laddove i cittadini dell’Unione godono di diritti direttamente attribuiti dal Trattato, quali quelli di circolazione, di soggiorno e di non discriminazione, ai quali si aggiungono i diritti sanciti nella Carta dei diritti fondamentali. I cittadini di Paesi terzi, invece, fatta eccezione per il diritto di asilo riconosciuto dalla Carta, beneficiano solo dei diritti di circolazione riconosciuti in taluni casi dalla normativa derivata e solo alle condizioni ivi stabilite.</w:t>
      </w:r>
      <w:r w:rsidR="00CB4BD5" w:rsidRPr="00361047">
        <w:rPr>
          <w:rFonts w:ascii="Times New Roman" w:hAnsi="Times New Roman" w:cs="Times New Roman"/>
          <w:lang w:val="it-IT"/>
        </w:rPr>
        <w:t xml:space="preserve"> </w:t>
      </w:r>
      <w:r w:rsidR="00B5093D" w:rsidRPr="00361047">
        <w:rPr>
          <w:rFonts w:ascii="Times New Roman" w:hAnsi="Times New Roman" w:cs="Times New Roman"/>
          <w:lang w:val="it-IT"/>
        </w:rPr>
        <w:t xml:space="preserve">Questo determina che si possono avere regole diverse </w:t>
      </w:r>
      <w:r w:rsidR="009D53D9" w:rsidRPr="00361047">
        <w:rPr>
          <w:rFonts w:ascii="Times New Roman" w:hAnsi="Times New Roman" w:cs="Times New Roman"/>
          <w:lang w:val="it-IT"/>
        </w:rPr>
        <w:t>applicabil</w:t>
      </w:r>
      <w:r w:rsidR="0094617A" w:rsidRPr="00361047">
        <w:rPr>
          <w:rFonts w:ascii="Times New Roman" w:hAnsi="Times New Roman" w:cs="Times New Roman"/>
          <w:lang w:val="it-IT"/>
        </w:rPr>
        <w:t xml:space="preserve">i </w:t>
      </w:r>
      <w:r w:rsidR="009D53D9" w:rsidRPr="00361047">
        <w:rPr>
          <w:rFonts w:ascii="Times New Roman" w:hAnsi="Times New Roman" w:cs="Times New Roman"/>
          <w:lang w:val="it-IT"/>
        </w:rPr>
        <w:t>in concreto, con uno standard di tutela talvolta inferiore rispetto a quello applicabile ai cittadini dell’Unione</w:t>
      </w:r>
      <w:r w:rsidR="009D53D9" w:rsidRPr="00361047">
        <w:rPr>
          <w:rStyle w:val="Rimandonotaapidipagina"/>
          <w:rFonts w:ascii="Times New Roman" w:hAnsi="Times New Roman" w:cs="Times New Roman"/>
          <w:lang w:val="it-IT"/>
        </w:rPr>
        <w:footnoteReference w:id="12"/>
      </w:r>
      <w:r w:rsidR="009D53D9" w:rsidRPr="00361047">
        <w:rPr>
          <w:rFonts w:ascii="Times New Roman" w:hAnsi="Times New Roman" w:cs="Times New Roman"/>
          <w:lang w:val="it-IT"/>
        </w:rPr>
        <w:t xml:space="preserve">. </w:t>
      </w:r>
      <w:r w:rsidR="00095AE7" w:rsidRPr="00361047">
        <w:rPr>
          <w:rFonts w:ascii="Times New Roman" w:hAnsi="Times New Roman" w:cs="Times New Roman"/>
          <w:lang w:val="it-IT"/>
        </w:rPr>
        <w:t xml:space="preserve">Uno standard che viene così ad imporsi anche a livello nazionale, dato che in base al noto principio </w:t>
      </w:r>
      <w:r w:rsidR="000C2CD5" w:rsidRPr="00361047">
        <w:rPr>
          <w:rFonts w:ascii="Times New Roman" w:hAnsi="Times New Roman" w:cs="Times New Roman"/>
          <w:i/>
          <w:iCs/>
          <w:lang w:val="it-IT"/>
        </w:rPr>
        <w:t>Melloni</w:t>
      </w:r>
      <w:r w:rsidR="00095AE7" w:rsidRPr="00361047">
        <w:rPr>
          <w:rFonts w:ascii="Times New Roman" w:hAnsi="Times New Roman" w:cs="Times New Roman"/>
          <w:lang w:val="it-IT"/>
        </w:rPr>
        <w:t>,</w:t>
      </w:r>
      <w:r w:rsidR="00946F68" w:rsidRPr="00361047">
        <w:rPr>
          <w:rFonts w:ascii="Times New Roman" w:hAnsi="Times New Roman" w:cs="Times New Roman"/>
          <w:i/>
          <w:iCs/>
          <w:lang w:val="it-IT"/>
        </w:rPr>
        <w:t xml:space="preserve"> </w:t>
      </w:r>
      <w:r w:rsidR="00946F68" w:rsidRPr="00361047">
        <w:rPr>
          <w:rFonts w:ascii="Times New Roman" w:hAnsi="Times New Roman" w:cs="Times New Roman"/>
          <w:lang w:val="it-IT"/>
        </w:rPr>
        <w:t xml:space="preserve">la Corte di giustizia ha chiaramente affermato che </w:t>
      </w:r>
      <w:r w:rsidR="008E33F5" w:rsidRPr="00361047">
        <w:rPr>
          <w:rFonts w:ascii="Times New Roman" w:hAnsi="Times New Roman" w:cs="Times New Roman"/>
          <w:lang w:val="it-IT"/>
        </w:rPr>
        <w:t xml:space="preserve">un eventuale </w:t>
      </w:r>
      <w:r w:rsidR="00946F68" w:rsidRPr="00361047">
        <w:rPr>
          <w:rFonts w:ascii="Times New Roman" w:hAnsi="Times New Roman" w:cs="Times New Roman"/>
          <w:lang w:val="it-IT"/>
        </w:rPr>
        <w:t xml:space="preserve">standard nazionale più favorevole </w:t>
      </w:r>
      <w:r w:rsidR="008E33F5" w:rsidRPr="00361047">
        <w:rPr>
          <w:rFonts w:ascii="Times New Roman" w:hAnsi="Times New Roman" w:cs="Times New Roman"/>
          <w:lang w:val="it-IT"/>
        </w:rPr>
        <w:t xml:space="preserve">rispetto a quello garantito dalla Carta </w:t>
      </w:r>
      <w:r w:rsidR="00946F68" w:rsidRPr="00361047">
        <w:rPr>
          <w:rFonts w:ascii="Times New Roman" w:hAnsi="Times New Roman" w:cs="Times New Roman"/>
          <w:lang w:val="it-IT"/>
        </w:rPr>
        <w:t xml:space="preserve">può essere applicato in assenza di una </w:t>
      </w:r>
      <w:r w:rsidR="00946F68" w:rsidRPr="00361047">
        <w:rPr>
          <w:rFonts w:ascii="Times New Roman" w:hAnsi="Times New Roman" w:cs="Times New Roman"/>
          <w:lang w:val="it-IT"/>
        </w:rPr>
        <w:lastRenderedPageBreak/>
        <w:t>norma di armonizzazione e senza pregiudizio dell’effettività e del primato del diritto dell’Unione europea</w:t>
      </w:r>
      <w:r w:rsidR="008E33F5" w:rsidRPr="00361047">
        <w:rPr>
          <w:rStyle w:val="Rimandonotaapidipagina"/>
          <w:rFonts w:ascii="Times New Roman" w:hAnsi="Times New Roman" w:cs="Times New Roman"/>
          <w:lang w:val="it-IT"/>
        </w:rPr>
        <w:footnoteReference w:id="13"/>
      </w:r>
      <w:r w:rsidR="009F36DE" w:rsidRPr="00361047">
        <w:rPr>
          <w:rFonts w:ascii="Times New Roman" w:hAnsi="Times New Roman" w:cs="Times New Roman"/>
          <w:lang w:val="it-IT"/>
        </w:rPr>
        <w:t>.</w:t>
      </w:r>
      <w:r w:rsidR="00946F68" w:rsidRPr="00361047">
        <w:rPr>
          <w:rFonts w:ascii="Times New Roman" w:hAnsi="Times New Roman" w:cs="Times New Roman"/>
          <w:lang w:val="it-IT"/>
        </w:rPr>
        <w:t xml:space="preserve"> </w:t>
      </w:r>
      <w:r w:rsidR="00BC0F67" w:rsidRPr="00361047">
        <w:rPr>
          <w:rFonts w:ascii="Times New Roman" w:hAnsi="Times New Roman" w:cs="Times New Roman"/>
          <w:lang w:val="it-IT"/>
        </w:rPr>
        <w:t>La presenza di una norma comune a livello europeo è dunque determinante secondo la Corte di giustizia per stabilire lo standard applicabile, se quello dell’Unione o quello</w:t>
      </w:r>
      <w:r w:rsidR="00E0317B" w:rsidRPr="00361047">
        <w:rPr>
          <w:rFonts w:ascii="Times New Roman" w:hAnsi="Times New Roman" w:cs="Times New Roman"/>
          <w:lang w:val="it-IT"/>
        </w:rPr>
        <w:t xml:space="preserve"> nazionale</w:t>
      </w:r>
      <w:r w:rsidR="00BC0F67" w:rsidRPr="00361047">
        <w:rPr>
          <w:rFonts w:ascii="Times New Roman" w:hAnsi="Times New Roman" w:cs="Times New Roman"/>
          <w:lang w:val="it-IT"/>
        </w:rPr>
        <w:t xml:space="preserve">. </w:t>
      </w:r>
      <w:r w:rsidR="005E1AD8" w:rsidRPr="00361047">
        <w:rPr>
          <w:rFonts w:ascii="Times New Roman" w:hAnsi="Times New Roman" w:cs="Times New Roman"/>
          <w:lang w:val="it-IT"/>
        </w:rPr>
        <w:t>Ma è proprio per questo che</w:t>
      </w:r>
      <w:r w:rsidR="00BC0F67" w:rsidRPr="00361047">
        <w:rPr>
          <w:rFonts w:ascii="Times New Roman" w:hAnsi="Times New Roman" w:cs="Times New Roman"/>
          <w:lang w:val="it-IT"/>
        </w:rPr>
        <w:t xml:space="preserve">, nel diritto d’asilo, come nel diritto degli stranieri più in generale, si osservano alcune criticità che è necessario </w:t>
      </w:r>
      <w:r w:rsidR="00014C63" w:rsidRPr="00361047">
        <w:rPr>
          <w:rFonts w:ascii="Times New Roman" w:hAnsi="Times New Roman" w:cs="Times New Roman"/>
          <w:lang w:val="it-IT"/>
        </w:rPr>
        <w:t>analizzare</w:t>
      </w:r>
      <w:r w:rsidR="00BC0F67" w:rsidRPr="00361047">
        <w:rPr>
          <w:rFonts w:ascii="Times New Roman" w:hAnsi="Times New Roman" w:cs="Times New Roman"/>
          <w:lang w:val="it-IT"/>
        </w:rPr>
        <w:t xml:space="preserve"> attentamente. </w:t>
      </w:r>
    </w:p>
    <w:p w14:paraId="7B94EF2A" w14:textId="7ACF063D" w:rsidR="006309FF" w:rsidRPr="00361047" w:rsidRDefault="006309FF" w:rsidP="00806AD2">
      <w:pPr>
        <w:spacing w:after="0" w:line="240" w:lineRule="auto"/>
        <w:jc w:val="both"/>
        <w:rPr>
          <w:rFonts w:ascii="Times New Roman" w:hAnsi="Times New Roman" w:cs="Times New Roman"/>
          <w:bCs/>
          <w:lang w:val="it-IT"/>
        </w:rPr>
      </w:pPr>
      <w:bookmarkStart w:id="1" w:name="_Toc512399936"/>
    </w:p>
    <w:p w14:paraId="196AC204" w14:textId="68361994" w:rsidR="00361047" w:rsidRDefault="00361047" w:rsidP="00361047">
      <w:pPr>
        <w:spacing w:after="0" w:line="240" w:lineRule="auto"/>
        <w:jc w:val="both"/>
        <w:rPr>
          <w:rFonts w:ascii="Times New Roman" w:hAnsi="Times New Roman" w:cs="Times New Roman"/>
          <w:b/>
          <w:lang w:val="it-IT"/>
        </w:rPr>
      </w:pPr>
      <w:bookmarkStart w:id="2" w:name="_Toc522625386"/>
      <w:r>
        <w:rPr>
          <w:rFonts w:ascii="Times New Roman" w:hAnsi="Times New Roman" w:cs="Times New Roman"/>
          <w:b/>
          <w:lang w:val="it-IT"/>
        </w:rPr>
        <w:t>2</w:t>
      </w:r>
      <w:bookmarkEnd w:id="2"/>
      <w:r>
        <w:rPr>
          <w:rFonts w:ascii="Times New Roman" w:hAnsi="Times New Roman" w:cs="Times New Roman"/>
          <w:b/>
          <w:lang w:val="it-IT"/>
        </w:rPr>
        <w:t>.a.</w:t>
      </w:r>
      <w:r w:rsidR="00C511F5" w:rsidRPr="00361047">
        <w:rPr>
          <w:rFonts w:ascii="Times New Roman" w:hAnsi="Times New Roman" w:cs="Times New Roman"/>
          <w:b/>
          <w:lang w:val="it-IT"/>
        </w:rPr>
        <w:t xml:space="preserve"> </w:t>
      </w:r>
      <w:r w:rsidR="000C1BC0" w:rsidRPr="00361047">
        <w:rPr>
          <w:rFonts w:ascii="Times New Roman" w:hAnsi="Times New Roman" w:cs="Times New Roman"/>
          <w:lang w:val="it-IT"/>
        </w:rPr>
        <w:t>L’applicazione di una regola diversa e di contenuto più restrittivo</w:t>
      </w:r>
      <w:r w:rsidR="00393E56" w:rsidRPr="00361047">
        <w:rPr>
          <w:rFonts w:ascii="Times New Roman" w:hAnsi="Times New Roman" w:cs="Times New Roman"/>
          <w:lang w:val="it-IT"/>
        </w:rPr>
        <w:t>,</w:t>
      </w:r>
      <w:r w:rsidR="000C1BC0" w:rsidRPr="00361047">
        <w:rPr>
          <w:rFonts w:ascii="Times New Roman" w:hAnsi="Times New Roman" w:cs="Times New Roman"/>
          <w:lang w:val="it-IT"/>
        </w:rPr>
        <w:t xml:space="preserve"> allorquando un diritto umano è applicato ai cittadini di Paesi terzi </w:t>
      </w:r>
      <w:r w:rsidR="005F1B93" w:rsidRPr="00361047">
        <w:rPr>
          <w:rFonts w:ascii="Times New Roman" w:hAnsi="Times New Roman" w:cs="Times New Roman"/>
          <w:lang w:val="it-IT"/>
        </w:rPr>
        <w:t>invece che ai cittadini dell’Unione</w:t>
      </w:r>
      <w:r w:rsidR="00393E56" w:rsidRPr="00361047">
        <w:rPr>
          <w:rFonts w:ascii="Times New Roman" w:hAnsi="Times New Roman" w:cs="Times New Roman"/>
          <w:lang w:val="it-IT"/>
        </w:rPr>
        <w:t>,</w:t>
      </w:r>
      <w:r w:rsidR="005F1B93" w:rsidRPr="00361047">
        <w:rPr>
          <w:rFonts w:ascii="Times New Roman" w:hAnsi="Times New Roman" w:cs="Times New Roman"/>
          <w:lang w:val="it-IT"/>
        </w:rPr>
        <w:t xml:space="preserve"> </w:t>
      </w:r>
      <w:r w:rsidR="00BC58AC" w:rsidRPr="00361047">
        <w:rPr>
          <w:rFonts w:ascii="Times New Roman" w:hAnsi="Times New Roman" w:cs="Times New Roman"/>
          <w:lang w:val="it-IT"/>
        </w:rPr>
        <w:t xml:space="preserve">emerge </w:t>
      </w:r>
      <w:r w:rsidR="005F1B93" w:rsidRPr="00361047">
        <w:rPr>
          <w:rFonts w:ascii="Times New Roman" w:hAnsi="Times New Roman" w:cs="Times New Roman"/>
          <w:lang w:val="it-IT"/>
        </w:rPr>
        <w:t xml:space="preserve">in modo sempre più evidente in relazione al </w:t>
      </w:r>
      <w:r w:rsidR="00BC58AC" w:rsidRPr="00361047">
        <w:rPr>
          <w:rFonts w:ascii="Times New Roman" w:hAnsi="Times New Roman" w:cs="Times New Roman"/>
          <w:lang w:val="it-IT"/>
        </w:rPr>
        <w:t>diritto ad un ricorso giurisdizionale effettivo.</w:t>
      </w:r>
    </w:p>
    <w:p w14:paraId="67BC624D" w14:textId="7DBB66FC" w:rsidR="006D5FEA" w:rsidRPr="00361047" w:rsidRDefault="00393E56" w:rsidP="00361047">
      <w:pPr>
        <w:spacing w:after="0" w:line="240" w:lineRule="auto"/>
        <w:jc w:val="both"/>
        <w:rPr>
          <w:rFonts w:ascii="Times New Roman" w:hAnsi="Times New Roman" w:cs="Times New Roman"/>
          <w:b/>
          <w:lang w:val="it-IT"/>
        </w:rPr>
      </w:pPr>
      <w:r w:rsidRPr="00361047">
        <w:rPr>
          <w:rFonts w:ascii="Times New Roman" w:hAnsi="Times New Roman" w:cs="Times New Roman"/>
          <w:lang w:val="it-IT"/>
        </w:rPr>
        <w:t xml:space="preserve">Come noto, </w:t>
      </w:r>
      <w:r w:rsidR="00B57D4F" w:rsidRPr="00361047">
        <w:rPr>
          <w:rFonts w:ascii="Times New Roman" w:hAnsi="Times New Roman" w:cs="Times New Roman"/>
          <w:lang w:val="it-IT"/>
        </w:rPr>
        <w:t>t</w:t>
      </w:r>
      <w:r w:rsidRPr="00361047">
        <w:rPr>
          <w:rFonts w:ascii="Times New Roman" w:hAnsi="Times New Roman" w:cs="Times New Roman"/>
          <w:lang w:val="it-IT"/>
        </w:rPr>
        <w:t xml:space="preserve">rattasi di un diritto che costituisce </w:t>
      </w:r>
      <w:r w:rsidR="0059020C" w:rsidRPr="00361047">
        <w:rPr>
          <w:rFonts w:ascii="Times New Roman" w:hAnsi="Times New Roman" w:cs="Times New Roman"/>
          <w:lang w:val="it-IT"/>
        </w:rPr>
        <w:t xml:space="preserve">uno dei principali strumenti </w:t>
      </w:r>
      <w:r w:rsidR="006D5FEA" w:rsidRPr="00361047">
        <w:rPr>
          <w:rFonts w:ascii="Times New Roman" w:hAnsi="Times New Roman" w:cs="Times New Roman"/>
          <w:lang w:val="it-IT"/>
        </w:rPr>
        <w:t>per garantire l’effettivo godimento di tutti i diritti riconosciuti alle persone, siano cittadini o stranieri. Anche gli stranieri, infatti, hanno diritto a</w:t>
      </w:r>
      <w:r w:rsidR="00B5438E" w:rsidRPr="00361047">
        <w:rPr>
          <w:rFonts w:ascii="Times New Roman" w:hAnsi="Times New Roman" w:cs="Times New Roman"/>
          <w:lang w:val="it-IT"/>
        </w:rPr>
        <w:t xml:space="preserve">d un </w:t>
      </w:r>
      <w:r w:rsidR="006D5FEA" w:rsidRPr="00361047">
        <w:rPr>
          <w:rFonts w:ascii="Times New Roman" w:hAnsi="Times New Roman" w:cs="Times New Roman"/>
          <w:lang w:val="it-IT"/>
        </w:rPr>
        <w:t>giudice, così che l’azione del potere pubblico nei loro confronti sia soggetta ad un controllo esterno ed imparziale.</w:t>
      </w:r>
    </w:p>
    <w:p w14:paraId="41141809" w14:textId="504C6D7B" w:rsidR="006D5FEA" w:rsidRPr="00361047" w:rsidRDefault="006D5FEA"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t>Nel diritto degli stranieri</w:t>
      </w:r>
      <w:r w:rsidR="0059020C" w:rsidRPr="00361047">
        <w:rPr>
          <w:rFonts w:ascii="Times New Roman" w:hAnsi="Times New Roman" w:cs="Times New Roman"/>
          <w:lang w:val="it-IT"/>
        </w:rPr>
        <w:t>,</w:t>
      </w:r>
      <w:r w:rsidRPr="00361047">
        <w:rPr>
          <w:rFonts w:ascii="Times New Roman" w:hAnsi="Times New Roman" w:cs="Times New Roman"/>
          <w:lang w:val="it-IT"/>
        </w:rPr>
        <w:t xml:space="preserve"> il diritto al ricorso effettivo assume un ruolo essenziale perché il suo esercizio può determinare una differenza di status della persona rispetto allo Stato ospitante: da regolare ad irregolare, da presente nel territorio ad assente o, comunque, da “visibile a non visibile”. In altre parole, per gli stranieri il diritto ad un ricorso effettivo e ad un giudice imparziale può essere l’unico diritto esercitabile, all’esito del quale, forse, si apre la possibilità di esercitare gli altri diritti connessi al loro </w:t>
      </w:r>
      <w:r w:rsidRPr="00361047">
        <w:rPr>
          <w:rFonts w:ascii="Times New Roman" w:hAnsi="Times New Roman" w:cs="Times New Roman"/>
          <w:i/>
          <w:lang w:val="it-IT"/>
        </w:rPr>
        <w:t>status</w:t>
      </w:r>
      <w:r w:rsidRPr="00361047">
        <w:rPr>
          <w:rFonts w:ascii="Times New Roman" w:hAnsi="Times New Roman" w:cs="Times New Roman"/>
          <w:lang w:val="it-IT"/>
        </w:rPr>
        <w:t xml:space="preserve">. </w:t>
      </w:r>
    </w:p>
    <w:p w14:paraId="635E2AEB" w14:textId="3A039463" w:rsidR="006D5FEA" w:rsidRPr="00361047" w:rsidRDefault="006D5FEA"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t>Nel diritto dell’Unione europea il diritto ad un ricorso effettivo è parte integrante del sistema di protezione dei diritti umani, originariamente riconosciuto dalla Corte di giustizia come principio generale proprio delle tradizioni costituzionali comuni agli ordinamenti degli Stati membri. Con orientamento costante la Corte ha infatti affermato: “[…] i singoli devono poter beneficiare di una tutela giurisdizionale effettiva dei diritti riconosciuti loro dall'ordinamento giuridico comunitario, poiché il diritto a detta tutela fa parte dei principi giuridici generali che derivano dalle tradizioni costituzionali comuni agli Stati membri. Tale diritto è stato anche sancito dagli artt. 6 e 13 della Convenzione europea per la salvaguardia dei diritti dell’uomo e delle libertà fondamentali”</w:t>
      </w:r>
      <w:r w:rsidR="00ED7D99" w:rsidRPr="00361047">
        <w:rPr>
          <w:rStyle w:val="Rimandonotaapidipagina"/>
          <w:rFonts w:ascii="Times New Roman" w:hAnsi="Times New Roman" w:cs="Times New Roman"/>
          <w:lang w:val="it-IT"/>
        </w:rPr>
        <w:footnoteReference w:id="14"/>
      </w:r>
      <w:r w:rsidRPr="00361047">
        <w:rPr>
          <w:rFonts w:ascii="Times New Roman" w:hAnsi="Times New Roman" w:cs="Times New Roman"/>
          <w:lang w:val="it-IT"/>
        </w:rPr>
        <w:t xml:space="preserve">. L’enfasi sull’effettività del ricorso induce la Corte europea, da una parte, e la Corte di giustizia, dall’altra, a valutare in concreto la protezione garantita, senza fermarsi all’esistenza formale del diritto ma </w:t>
      </w:r>
      <w:r w:rsidRPr="00361047">
        <w:rPr>
          <w:rFonts w:ascii="Times New Roman" w:hAnsi="Times New Roman" w:cs="Times New Roman"/>
          <w:lang w:val="it-IT"/>
        </w:rPr>
        <w:lastRenderedPageBreak/>
        <w:t>verificando se questa sia nella sua applicazione pratica tale da assicurare un’effettiva difesa contro la lesione dei diritti. Ciò in piena assonanza con il principio di effettività de</w:t>
      </w:r>
      <w:r w:rsidR="00003FAB" w:rsidRPr="00361047">
        <w:rPr>
          <w:rFonts w:ascii="Times New Roman" w:hAnsi="Times New Roman" w:cs="Times New Roman"/>
          <w:lang w:val="it-IT"/>
        </w:rPr>
        <w:t xml:space="preserve">lle tutele </w:t>
      </w:r>
      <w:r w:rsidRPr="00361047">
        <w:rPr>
          <w:rFonts w:ascii="Times New Roman" w:hAnsi="Times New Roman" w:cs="Times New Roman"/>
          <w:lang w:val="it-IT"/>
        </w:rPr>
        <w:t>che è emblematico dello stesso modo di essere del diritto dell’Unione europea: un ordinamento nel quale la sostanza è spesso prevalente sulla forma; nel quale la tensione verso l’effettivo conseguimento degli obiettivi e verso l’effettiva tutela dei diritti permea gran parte dell’attività delle istituzioni e diventa canone prevalente nell’interpretazione delle norme UE.</w:t>
      </w:r>
    </w:p>
    <w:p w14:paraId="7EABA8A8" w14:textId="03F4EA5A" w:rsidR="006D5FEA" w:rsidRPr="00361047" w:rsidRDefault="006D5FEA"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t>Come nella maggioranza degli atti derivati, negli strumenti normativi del sistema europeo di asilo è ribadito il diritto delle persone ad un ricorso effettivo</w:t>
      </w:r>
      <w:r w:rsidR="003B0676" w:rsidRPr="00361047">
        <w:rPr>
          <w:rFonts w:ascii="Times New Roman" w:hAnsi="Times New Roman" w:cs="Times New Roman"/>
          <w:lang w:val="it-IT"/>
        </w:rPr>
        <w:t>,</w:t>
      </w:r>
      <w:r w:rsidRPr="00361047">
        <w:rPr>
          <w:rFonts w:ascii="Times New Roman" w:hAnsi="Times New Roman" w:cs="Times New Roman"/>
          <w:lang w:val="it-IT"/>
        </w:rPr>
        <w:t xml:space="preserve"> senza una disciplina di dettaglio</w:t>
      </w:r>
      <w:r w:rsidR="0059020C" w:rsidRPr="00361047">
        <w:rPr>
          <w:rFonts w:ascii="Times New Roman" w:hAnsi="Times New Roman" w:cs="Times New Roman"/>
          <w:lang w:val="it-IT"/>
        </w:rPr>
        <w:t xml:space="preserve">, </w:t>
      </w:r>
      <w:r w:rsidR="003B0676" w:rsidRPr="00361047">
        <w:rPr>
          <w:rFonts w:ascii="Times New Roman" w:hAnsi="Times New Roman" w:cs="Times New Roman"/>
          <w:lang w:val="it-IT"/>
        </w:rPr>
        <w:t>ma con la previsione di alcuni specifici obblighi</w:t>
      </w:r>
      <w:r w:rsidRPr="00361047">
        <w:rPr>
          <w:rFonts w:ascii="Times New Roman" w:hAnsi="Times New Roman" w:cs="Times New Roman"/>
          <w:lang w:val="it-IT"/>
        </w:rPr>
        <w:t>: così dispongono l’art. 46 della “direttiva procedure”</w:t>
      </w:r>
      <w:r w:rsidR="003B0676" w:rsidRPr="00361047">
        <w:rPr>
          <w:rFonts w:ascii="Times New Roman" w:hAnsi="Times New Roman" w:cs="Times New Roman"/>
          <w:lang w:val="it-IT"/>
        </w:rPr>
        <w:t>,</w:t>
      </w:r>
      <w:r w:rsidRPr="00361047">
        <w:rPr>
          <w:rFonts w:ascii="Times New Roman" w:hAnsi="Times New Roman" w:cs="Times New Roman"/>
          <w:lang w:val="it-IT"/>
        </w:rPr>
        <w:t xml:space="preserve"> come anche l’art. 27 del “regolamento Dublino”. In questi casi</w:t>
      </w:r>
      <w:r w:rsidR="003B0676" w:rsidRPr="00361047">
        <w:rPr>
          <w:rFonts w:ascii="Times New Roman" w:hAnsi="Times New Roman" w:cs="Times New Roman"/>
          <w:lang w:val="it-IT"/>
        </w:rPr>
        <w:t>, le regole disposte dalle norme UE devono essere integrate con l’applicazione de</w:t>
      </w:r>
      <w:r w:rsidRPr="00361047">
        <w:rPr>
          <w:rFonts w:ascii="Times New Roman" w:hAnsi="Times New Roman" w:cs="Times New Roman"/>
          <w:lang w:val="it-IT"/>
        </w:rPr>
        <w:t>l principio dell’autonomia procedurale che, già enunciato dalla Corte di giustizia, è ora codificato all’art. 19, par. 1, 2° capoverso, del TU</w:t>
      </w:r>
      <w:r w:rsidR="00960DFF" w:rsidRPr="00361047">
        <w:rPr>
          <w:rFonts w:ascii="Times New Roman" w:hAnsi="Times New Roman" w:cs="Times New Roman"/>
          <w:lang w:val="it-IT"/>
        </w:rPr>
        <w:t>E</w:t>
      </w:r>
      <w:r w:rsidRPr="00361047">
        <w:rPr>
          <w:rFonts w:ascii="Times New Roman" w:hAnsi="Times New Roman" w:cs="Times New Roman"/>
          <w:lang w:val="it-IT"/>
        </w:rPr>
        <w:t xml:space="preserve">. La predisposizione in concreto dei rimedi giurisdizionali è dunque di competenza degli Stati membri che godono di un ampio margine di discrezionalità nell’individuare gli strumenti giurisdizionali più appropriati, </w:t>
      </w:r>
      <w:r w:rsidR="003B0676" w:rsidRPr="00361047">
        <w:rPr>
          <w:rFonts w:ascii="Times New Roman" w:hAnsi="Times New Roman" w:cs="Times New Roman"/>
          <w:lang w:val="it-IT"/>
        </w:rPr>
        <w:t xml:space="preserve">nel rispetto degli obblighi derivanti dalle norme UE e </w:t>
      </w:r>
      <w:r w:rsidRPr="00361047">
        <w:rPr>
          <w:rFonts w:ascii="Times New Roman" w:hAnsi="Times New Roman" w:cs="Times New Roman"/>
          <w:lang w:val="it-IT"/>
        </w:rPr>
        <w:t>dei principi di equivalenza e di effettività</w:t>
      </w:r>
      <w:r w:rsidR="00175561" w:rsidRPr="00361047">
        <w:rPr>
          <w:rStyle w:val="Rimandonotaapidipagina"/>
          <w:rFonts w:ascii="Times New Roman" w:hAnsi="Times New Roman" w:cs="Times New Roman"/>
          <w:lang w:val="it-IT"/>
        </w:rPr>
        <w:footnoteReference w:id="15"/>
      </w:r>
      <w:r w:rsidRPr="00361047">
        <w:rPr>
          <w:rFonts w:ascii="Times New Roman" w:hAnsi="Times New Roman" w:cs="Times New Roman"/>
          <w:lang w:val="it-IT"/>
        </w:rPr>
        <w:t xml:space="preserve">. </w:t>
      </w:r>
    </w:p>
    <w:p w14:paraId="286E879F" w14:textId="3BF5CD96" w:rsidR="006D5FEA" w:rsidRPr="00361047" w:rsidRDefault="006D5FEA"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t xml:space="preserve">Il diritto al ricorso effettivo è stato poi codificato e arricchito dall’art. 47 della Carta dei diritti fondamentali dell'Unione europea, rubricato “Diritto a un ricorso effettivo e a un giudice imparziale”, corrispondente agli articoli 13 (“Diritto ad un ricorso effettivo”) e 6 (“Diritto ad un equo processo”) della </w:t>
      </w:r>
      <w:proofErr w:type="spellStart"/>
      <w:r w:rsidRPr="00361047">
        <w:rPr>
          <w:rFonts w:ascii="Times New Roman" w:hAnsi="Times New Roman" w:cs="Times New Roman"/>
          <w:lang w:val="it-IT"/>
        </w:rPr>
        <w:t>Cedu</w:t>
      </w:r>
      <w:proofErr w:type="spellEnd"/>
      <w:r w:rsidRPr="00361047">
        <w:rPr>
          <w:rFonts w:ascii="Times New Roman" w:hAnsi="Times New Roman" w:cs="Times New Roman"/>
          <w:lang w:val="it-IT"/>
        </w:rPr>
        <w:t xml:space="preserve"> ma che offre una disciplina più estensiva di entrambi</w:t>
      </w:r>
      <w:r w:rsidR="003B0676" w:rsidRPr="00361047">
        <w:rPr>
          <w:rFonts w:ascii="Times New Roman" w:hAnsi="Times New Roman" w:cs="Times New Roman"/>
          <w:lang w:val="it-IT"/>
        </w:rPr>
        <w:t>.</w:t>
      </w:r>
      <w:r w:rsidR="00003FAB" w:rsidRPr="00361047">
        <w:rPr>
          <w:rFonts w:ascii="Times New Roman" w:hAnsi="Times New Roman" w:cs="Times New Roman"/>
          <w:lang w:val="it-IT"/>
        </w:rPr>
        <w:t xml:space="preserve"> </w:t>
      </w:r>
      <w:r w:rsidRPr="00361047">
        <w:rPr>
          <w:rFonts w:ascii="Times New Roman" w:hAnsi="Times New Roman" w:cs="Times New Roman"/>
          <w:lang w:val="it-IT"/>
        </w:rPr>
        <w:t>Quanto al diritto al ricorso effettivo, l’art. 47, comma 1, riconosce il diritto di ricorso di fronte ad un vero e proprio giudice e non “solo” di fronte ad un’istanza nazionale come disposto dall’art.</w:t>
      </w:r>
      <w:r w:rsidR="006555EA" w:rsidRPr="00361047">
        <w:rPr>
          <w:rFonts w:ascii="Times New Roman" w:hAnsi="Times New Roman" w:cs="Times New Roman"/>
          <w:lang w:val="it-IT"/>
        </w:rPr>
        <w:t xml:space="preserve"> 13 CEDU. </w:t>
      </w:r>
      <w:r w:rsidR="00003FAB" w:rsidRPr="00361047">
        <w:rPr>
          <w:rFonts w:ascii="Times New Roman" w:hAnsi="Times New Roman" w:cs="Times New Roman"/>
          <w:lang w:val="it-IT"/>
        </w:rPr>
        <w:t xml:space="preserve">Quanto al diritto all’equo processo, </w:t>
      </w:r>
      <w:r w:rsidRPr="00361047">
        <w:rPr>
          <w:rFonts w:ascii="Times New Roman" w:hAnsi="Times New Roman" w:cs="Times New Roman"/>
          <w:lang w:val="it-IT"/>
        </w:rPr>
        <w:t xml:space="preserve">l’art. 47, comma 2, ha un’applicazione generalizzata e non limitata alle controversie relative a diritti e obblighi di carattere civile come invece l’art. 6 </w:t>
      </w:r>
      <w:proofErr w:type="spellStart"/>
      <w:r w:rsidRPr="00361047">
        <w:rPr>
          <w:rFonts w:ascii="Times New Roman" w:hAnsi="Times New Roman" w:cs="Times New Roman"/>
          <w:lang w:val="it-IT"/>
        </w:rPr>
        <w:t>Cedu</w:t>
      </w:r>
      <w:proofErr w:type="spellEnd"/>
      <w:r w:rsidRPr="00361047">
        <w:rPr>
          <w:rFonts w:ascii="Times New Roman" w:hAnsi="Times New Roman" w:cs="Times New Roman"/>
          <w:lang w:val="it-IT"/>
        </w:rPr>
        <w:t>. L’art. 47(2) è stato volutamente formulato in modo estensivo, così che le garanzie del giusto processo trovino una generale applicazione in tutti i casi di ricorsi volti all’accertamento di un diritto derivante dall’ordinamento dell’Unione europea. Come le “spiegazioni” della Carta chiariscono, questa estensione “È una delle conseguenze del fatto che l’Unione è una comunità di diritto […]. Tuttavia, fatta eccezione per l’ambito di applicazione, le garanzie offerte dalla CEDU si applicano in modo analogo nell'Unione”</w:t>
      </w:r>
      <w:r w:rsidR="00A66BCE" w:rsidRPr="00361047">
        <w:rPr>
          <w:rStyle w:val="Rimandonotaapidipagina"/>
          <w:rFonts w:ascii="Times New Roman" w:hAnsi="Times New Roman" w:cs="Times New Roman"/>
          <w:lang w:val="it-IT"/>
        </w:rPr>
        <w:footnoteReference w:id="16"/>
      </w:r>
      <w:r w:rsidRPr="00361047">
        <w:rPr>
          <w:rFonts w:ascii="Times New Roman" w:hAnsi="Times New Roman" w:cs="Times New Roman"/>
          <w:lang w:val="it-IT"/>
        </w:rPr>
        <w:t>.</w:t>
      </w:r>
    </w:p>
    <w:p w14:paraId="768A1D74" w14:textId="69672868" w:rsidR="0052684D" w:rsidRPr="00361047" w:rsidRDefault="00F70BE9"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lastRenderedPageBreak/>
        <w:t xml:space="preserve">Da questo deriva che </w:t>
      </w:r>
      <w:r w:rsidR="006D5FEA" w:rsidRPr="00361047">
        <w:rPr>
          <w:rFonts w:ascii="Times New Roman" w:hAnsi="Times New Roman" w:cs="Times New Roman"/>
          <w:lang w:val="it-IT"/>
        </w:rPr>
        <w:t xml:space="preserve">i principi elaborati dalla Corte </w:t>
      </w:r>
      <w:proofErr w:type="spellStart"/>
      <w:r w:rsidR="006D5FEA" w:rsidRPr="00361047">
        <w:rPr>
          <w:rFonts w:ascii="Times New Roman" w:hAnsi="Times New Roman" w:cs="Times New Roman"/>
          <w:lang w:val="it-IT"/>
        </w:rPr>
        <w:t>Edu</w:t>
      </w:r>
      <w:proofErr w:type="spellEnd"/>
      <w:r w:rsidR="006D5FEA" w:rsidRPr="00361047">
        <w:rPr>
          <w:rFonts w:ascii="Times New Roman" w:hAnsi="Times New Roman" w:cs="Times New Roman"/>
          <w:lang w:val="it-IT"/>
        </w:rPr>
        <w:t xml:space="preserve"> in relazione agli articoli 6 e</w:t>
      </w:r>
      <w:r w:rsidRPr="00361047">
        <w:rPr>
          <w:rFonts w:ascii="Times New Roman" w:hAnsi="Times New Roman" w:cs="Times New Roman"/>
          <w:lang w:val="it-IT"/>
        </w:rPr>
        <w:t xml:space="preserve"> 13, trovano applicazione nel diritto UE </w:t>
      </w:r>
      <w:r w:rsidR="006D5FEA" w:rsidRPr="00361047">
        <w:rPr>
          <w:rFonts w:ascii="Times New Roman" w:hAnsi="Times New Roman" w:cs="Times New Roman"/>
          <w:lang w:val="it-IT"/>
        </w:rPr>
        <w:t>anche al settore dell’asilo</w:t>
      </w:r>
      <w:r w:rsidRPr="00361047">
        <w:rPr>
          <w:rFonts w:ascii="Times New Roman" w:hAnsi="Times New Roman" w:cs="Times New Roman"/>
          <w:lang w:val="it-IT"/>
        </w:rPr>
        <w:t>, escluso invece nel sistema della CEDU</w:t>
      </w:r>
      <w:r w:rsidR="006D5FEA" w:rsidRPr="00361047">
        <w:rPr>
          <w:rFonts w:ascii="Times New Roman" w:hAnsi="Times New Roman" w:cs="Times New Roman"/>
          <w:lang w:val="it-IT"/>
        </w:rPr>
        <w:t xml:space="preserve">. </w:t>
      </w:r>
      <w:r w:rsidR="002B4821" w:rsidRPr="00361047">
        <w:rPr>
          <w:rFonts w:ascii="Times New Roman" w:hAnsi="Times New Roman" w:cs="Times New Roman"/>
          <w:lang w:val="it-IT"/>
        </w:rPr>
        <w:t xml:space="preserve">Non è sufficiente un riferimento testuale al contenuto del diritto sancito nella Convenzione, ma occorre effettuare un attento esame della giurisprudenza della Corte </w:t>
      </w:r>
      <w:proofErr w:type="spellStart"/>
      <w:r w:rsidR="002B4821" w:rsidRPr="00361047">
        <w:rPr>
          <w:rFonts w:ascii="Times New Roman" w:hAnsi="Times New Roman" w:cs="Times New Roman"/>
          <w:lang w:val="it-IT"/>
        </w:rPr>
        <w:t>Edu</w:t>
      </w:r>
      <w:proofErr w:type="spellEnd"/>
      <w:r w:rsidR="002B4821" w:rsidRPr="00361047">
        <w:rPr>
          <w:rFonts w:ascii="Times New Roman" w:hAnsi="Times New Roman" w:cs="Times New Roman"/>
          <w:lang w:val="it-IT"/>
        </w:rPr>
        <w:t>. In particolare</w:t>
      </w:r>
      <w:r w:rsidR="00012FA2" w:rsidRPr="00361047">
        <w:rPr>
          <w:rFonts w:ascii="Times New Roman" w:hAnsi="Times New Roman" w:cs="Times New Roman"/>
          <w:lang w:val="it-IT"/>
        </w:rPr>
        <w:t>,</w:t>
      </w:r>
      <w:r w:rsidR="002B4821" w:rsidRPr="00361047">
        <w:rPr>
          <w:rFonts w:ascii="Times New Roman" w:hAnsi="Times New Roman" w:cs="Times New Roman"/>
          <w:lang w:val="it-IT"/>
        </w:rPr>
        <w:t xml:space="preserve"> è interessante sottolineare che in materia di diritto al giusto processo, non abbiamo giurisprudenza della Corte EDU in materia di asilo, ma che proprio grazie all’estensione effettuata attraverso il 47 della Carta, i principi che la Corte EDU ha pronunciato in altri settori, devono ora applicarsi anche al diritto di asilo. </w:t>
      </w:r>
      <w:r w:rsidRPr="00361047">
        <w:rPr>
          <w:rFonts w:ascii="Times New Roman" w:hAnsi="Times New Roman" w:cs="Times New Roman"/>
          <w:lang w:val="it-IT"/>
        </w:rPr>
        <w:t xml:space="preserve">Ciò </w:t>
      </w:r>
      <w:r w:rsidR="0052684D" w:rsidRPr="00361047">
        <w:rPr>
          <w:rFonts w:ascii="Times New Roman" w:hAnsi="Times New Roman" w:cs="Times New Roman"/>
          <w:lang w:val="it-IT"/>
        </w:rPr>
        <w:t xml:space="preserve">implica la necessità di analizzare e sintetizzare i principi affermati dalla Corte EDU, traslandoli al settore dell’asilo, in relazione alle diverse fattispecie sostanziali e giuridiche che possono sorgere. Un esercizio non semplice considerando la molteplicità di sentenze della Corte EDU e la difficoltà ad estrapolare principi giuridici applicabili anche in altri contesti. </w:t>
      </w:r>
    </w:p>
    <w:p w14:paraId="76171179" w14:textId="2ED37ECB" w:rsidR="006D5FEA" w:rsidRPr="00361047" w:rsidRDefault="0052684D"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t>Tale esercizio può essere condotto solo per ciascun istituto di volta in volta rilevante, prestando particolare attenzione a quanto emerge dall</w:t>
      </w:r>
      <w:r w:rsidR="00366027" w:rsidRPr="00361047">
        <w:rPr>
          <w:rFonts w:ascii="Times New Roman" w:hAnsi="Times New Roman" w:cs="Times New Roman"/>
          <w:lang w:val="it-IT"/>
        </w:rPr>
        <w:t>a giurisprudenza di Strasburgo ed evitando difformità di orientamenti giurisprudenziali.</w:t>
      </w:r>
      <w:r w:rsidR="00003FAB" w:rsidRPr="00361047">
        <w:rPr>
          <w:rFonts w:ascii="Times New Roman" w:hAnsi="Times New Roman" w:cs="Times New Roman"/>
          <w:lang w:val="it-IT"/>
        </w:rPr>
        <w:t xml:space="preserve"> Al contrario, in almeno due casi decisi dalla Corte di giustizia su rinvii pregiudiziali di giudici italiani emerge, da una parte, una incoerenza tra l’orientamento di Lussemburgo rispetto a quello seguito a Strasburgo</w:t>
      </w:r>
      <w:r w:rsidR="00A4060B" w:rsidRPr="00361047">
        <w:rPr>
          <w:rFonts w:ascii="Times New Roman" w:hAnsi="Times New Roman" w:cs="Times New Roman"/>
          <w:lang w:val="it-IT"/>
        </w:rPr>
        <w:t>;</w:t>
      </w:r>
      <w:r w:rsidR="00003FAB" w:rsidRPr="00361047">
        <w:rPr>
          <w:rFonts w:ascii="Times New Roman" w:hAnsi="Times New Roman" w:cs="Times New Roman"/>
          <w:lang w:val="it-IT"/>
        </w:rPr>
        <w:t xml:space="preserve"> dall’altra una scarsa volontà della Corte di cimentarsi nell’applicazione del diritto alla tutela giurisdizionale effettiva nel settore dell’asilo come avvenut</w:t>
      </w:r>
      <w:r w:rsidR="00A4060B" w:rsidRPr="00361047">
        <w:rPr>
          <w:rFonts w:ascii="Times New Roman" w:hAnsi="Times New Roman" w:cs="Times New Roman"/>
          <w:lang w:val="it-IT"/>
        </w:rPr>
        <w:t>o</w:t>
      </w:r>
      <w:r w:rsidR="00003FAB" w:rsidRPr="00361047">
        <w:rPr>
          <w:rFonts w:ascii="Times New Roman" w:hAnsi="Times New Roman" w:cs="Times New Roman"/>
          <w:lang w:val="it-IT"/>
        </w:rPr>
        <w:t xml:space="preserve"> in altri ambiti </w:t>
      </w:r>
      <w:r w:rsidR="006F22B7" w:rsidRPr="00361047">
        <w:rPr>
          <w:rFonts w:ascii="Times New Roman" w:hAnsi="Times New Roman" w:cs="Times New Roman"/>
          <w:lang w:val="it-IT"/>
        </w:rPr>
        <w:t>rientra</w:t>
      </w:r>
      <w:r w:rsidR="00A4060B" w:rsidRPr="00361047">
        <w:rPr>
          <w:rFonts w:ascii="Times New Roman" w:hAnsi="Times New Roman" w:cs="Times New Roman"/>
          <w:lang w:val="it-IT"/>
        </w:rPr>
        <w:t>nti</w:t>
      </w:r>
      <w:r w:rsidR="006F22B7" w:rsidRPr="00361047">
        <w:rPr>
          <w:rFonts w:ascii="Times New Roman" w:hAnsi="Times New Roman" w:cs="Times New Roman"/>
          <w:lang w:val="it-IT"/>
        </w:rPr>
        <w:t xml:space="preserve"> nel diritto </w:t>
      </w:r>
      <w:r w:rsidR="00003FAB" w:rsidRPr="00361047">
        <w:rPr>
          <w:rFonts w:ascii="Times New Roman" w:hAnsi="Times New Roman" w:cs="Times New Roman"/>
          <w:lang w:val="it-IT"/>
        </w:rPr>
        <w:t>dell’Unione europea.</w:t>
      </w:r>
    </w:p>
    <w:p w14:paraId="57558D78" w14:textId="5D6AD6CD" w:rsidR="00366027" w:rsidRPr="00361047" w:rsidRDefault="00366027" w:rsidP="00361047">
      <w:pPr>
        <w:spacing w:after="0" w:line="240" w:lineRule="auto"/>
        <w:jc w:val="both"/>
        <w:rPr>
          <w:rFonts w:ascii="Times New Roman" w:hAnsi="Times New Roman" w:cs="Times New Roman"/>
          <w:lang w:val="it-IT"/>
        </w:rPr>
      </w:pPr>
    </w:p>
    <w:p w14:paraId="5DA025A3" w14:textId="16293D36" w:rsidR="00F40DB6" w:rsidRPr="00361047" w:rsidRDefault="00361047" w:rsidP="00361047">
      <w:pPr>
        <w:spacing w:after="0" w:line="240" w:lineRule="auto"/>
        <w:jc w:val="both"/>
        <w:rPr>
          <w:rFonts w:ascii="Times New Roman" w:hAnsi="Times New Roman" w:cs="Times New Roman"/>
          <w:lang w:val="it-IT"/>
        </w:rPr>
      </w:pPr>
      <w:r>
        <w:rPr>
          <w:rFonts w:ascii="Times New Roman" w:hAnsi="Times New Roman" w:cs="Times New Roman"/>
          <w:b/>
          <w:lang w:val="it-IT"/>
        </w:rPr>
        <w:t>2.b.</w:t>
      </w:r>
      <w:r w:rsidR="00E7275E" w:rsidRPr="00361047">
        <w:rPr>
          <w:rFonts w:ascii="Times New Roman" w:hAnsi="Times New Roman" w:cs="Times New Roman"/>
          <w:b/>
          <w:lang w:val="it-IT"/>
        </w:rPr>
        <w:t xml:space="preserve"> </w:t>
      </w:r>
      <w:r w:rsidR="00366027" w:rsidRPr="00361047">
        <w:rPr>
          <w:rFonts w:ascii="Times New Roman" w:hAnsi="Times New Roman" w:cs="Times New Roman"/>
          <w:lang w:val="it-IT"/>
        </w:rPr>
        <w:t xml:space="preserve">Una </w:t>
      </w:r>
      <w:r w:rsidR="003A1020" w:rsidRPr="00361047">
        <w:rPr>
          <w:rFonts w:ascii="Times New Roman" w:hAnsi="Times New Roman" w:cs="Times New Roman"/>
          <w:lang w:val="it-IT"/>
        </w:rPr>
        <w:t xml:space="preserve">prima questione ha riguardato uno </w:t>
      </w:r>
      <w:r w:rsidR="00F40DB6" w:rsidRPr="00361047">
        <w:rPr>
          <w:rFonts w:ascii="Times New Roman" w:hAnsi="Times New Roman" w:cs="Times New Roman"/>
          <w:lang w:val="it-IT"/>
        </w:rPr>
        <w:t>dei principi cardine</w:t>
      </w:r>
      <w:r w:rsidR="00366027" w:rsidRPr="00361047">
        <w:rPr>
          <w:rFonts w:ascii="Times New Roman" w:hAnsi="Times New Roman" w:cs="Times New Roman"/>
          <w:lang w:val="it-IT"/>
        </w:rPr>
        <w:t xml:space="preserve"> del</w:t>
      </w:r>
      <w:r w:rsidR="00F40DB6" w:rsidRPr="00361047">
        <w:rPr>
          <w:rFonts w:ascii="Times New Roman" w:hAnsi="Times New Roman" w:cs="Times New Roman"/>
          <w:lang w:val="it-IT"/>
        </w:rPr>
        <w:t xml:space="preserve"> </w:t>
      </w:r>
      <w:r w:rsidR="00366027" w:rsidRPr="00361047">
        <w:rPr>
          <w:rFonts w:ascii="Times New Roman" w:hAnsi="Times New Roman" w:cs="Times New Roman"/>
          <w:lang w:val="it-IT"/>
        </w:rPr>
        <w:t>giusto processo</w:t>
      </w:r>
      <w:r w:rsidR="00F40DB6" w:rsidRPr="00361047">
        <w:rPr>
          <w:rFonts w:ascii="Times New Roman" w:hAnsi="Times New Roman" w:cs="Times New Roman"/>
          <w:lang w:val="it-IT"/>
        </w:rPr>
        <w:t xml:space="preserve">, ossia il diritto a che la causa sia esaminata pubblicamente, attraverso un’udienza pubblica che, di regola, include anche il diritto di essere ascoltato. La pubblicità dell’udienza e l’ascolto dell’interessato non sono tuttavia assoluti e possono essere limitati laddove </w:t>
      </w:r>
      <w:r w:rsidR="007136B5" w:rsidRPr="00361047">
        <w:rPr>
          <w:rFonts w:ascii="Times New Roman" w:hAnsi="Times New Roman" w:cs="Times New Roman"/>
          <w:lang w:val="it-IT"/>
        </w:rPr>
        <w:t xml:space="preserve">ciò </w:t>
      </w:r>
      <w:r w:rsidR="00F40DB6" w:rsidRPr="00361047">
        <w:rPr>
          <w:rFonts w:ascii="Times New Roman" w:hAnsi="Times New Roman" w:cs="Times New Roman"/>
          <w:lang w:val="it-IT"/>
        </w:rPr>
        <w:t>risulti proporzionat</w:t>
      </w:r>
      <w:r w:rsidR="007136B5" w:rsidRPr="00361047">
        <w:rPr>
          <w:rFonts w:ascii="Times New Roman" w:hAnsi="Times New Roman" w:cs="Times New Roman"/>
          <w:lang w:val="it-IT"/>
        </w:rPr>
        <w:t xml:space="preserve">o </w:t>
      </w:r>
      <w:r w:rsidR="00F40DB6" w:rsidRPr="00361047">
        <w:rPr>
          <w:rFonts w:ascii="Times New Roman" w:hAnsi="Times New Roman" w:cs="Times New Roman"/>
          <w:lang w:val="it-IT"/>
        </w:rPr>
        <w:t>e giustificat</w:t>
      </w:r>
      <w:r w:rsidR="007136B5" w:rsidRPr="00361047">
        <w:rPr>
          <w:rFonts w:ascii="Times New Roman" w:hAnsi="Times New Roman" w:cs="Times New Roman"/>
          <w:lang w:val="it-IT"/>
        </w:rPr>
        <w:t>o</w:t>
      </w:r>
      <w:r w:rsidR="00F40DB6" w:rsidRPr="00361047">
        <w:rPr>
          <w:rFonts w:ascii="Times New Roman" w:hAnsi="Times New Roman" w:cs="Times New Roman"/>
          <w:lang w:val="it-IT"/>
        </w:rPr>
        <w:t xml:space="preserve"> dalla particolare natura della questione oggetto del singolo giudizio ma non, invece, da esigenze economiche o di efficienza del sistema giudiziario che mai </w:t>
      </w:r>
      <w:r w:rsidR="003627ED" w:rsidRPr="00361047">
        <w:rPr>
          <w:rFonts w:ascii="Times New Roman" w:hAnsi="Times New Roman" w:cs="Times New Roman"/>
          <w:lang w:val="it-IT"/>
        </w:rPr>
        <w:t>dovrebbero, sole,</w:t>
      </w:r>
      <w:r w:rsidR="00F40DB6" w:rsidRPr="00361047">
        <w:rPr>
          <w:rFonts w:ascii="Times New Roman" w:hAnsi="Times New Roman" w:cs="Times New Roman"/>
          <w:lang w:val="it-IT"/>
        </w:rPr>
        <w:t xml:space="preserve"> condizionare l’esercizio di diritti fondamentali.</w:t>
      </w:r>
    </w:p>
    <w:p w14:paraId="49C2E3E3" w14:textId="65AD5EDC" w:rsidR="00366027" w:rsidRPr="00361047" w:rsidRDefault="00F40DB6"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t xml:space="preserve">La Corte di giustizia si è cimentata nell’interpretazione di tale diritto </w:t>
      </w:r>
      <w:r w:rsidR="00366027" w:rsidRPr="00361047">
        <w:rPr>
          <w:rFonts w:ascii="Times New Roman" w:hAnsi="Times New Roman" w:cs="Times New Roman"/>
          <w:lang w:val="it-IT"/>
        </w:rPr>
        <w:t xml:space="preserve">nella sentenza </w:t>
      </w:r>
      <w:proofErr w:type="spellStart"/>
      <w:r w:rsidR="00366027" w:rsidRPr="00361047">
        <w:rPr>
          <w:rFonts w:ascii="Times New Roman" w:hAnsi="Times New Roman" w:cs="Times New Roman"/>
          <w:i/>
          <w:lang w:val="it-IT"/>
        </w:rPr>
        <w:t>Sacko</w:t>
      </w:r>
      <w:proofErr w:type="spellEnd"/>
      <w:r w:rsidRPr="00361047">
        <w:rPr>
          <w:rFonts w:ascii="Times New Roman" w:hAnsi="Times New Roman" w:cs="Times New Roman"/>
          <w:lang w:val="it-IT"/>
        </w:rPr>
        <w:t>, decisa</w:t>
      </w:r>
      <w:r w:rsidR="00366027" w:rsidRPr="00361047">
        <w:rPr>
          <w:rFonts w:ascii="Times New Roman" w:hAnsi="Times New Roman" w:cs="Times New Roman"/>
          <w:lang w:val="it-IT"/>
        </w:rPr>
        <w:t xml:space="preserve"> il 26 luglio 2017 su rinvio pregiudiziale del giudice italiano. La Corte ha chiarito l’interpretazione dell’art. 46 della direttiva procedure, onde fornire al giudice nazionale le indicazioni necessarie per valutare se la disposizione della legge italiana che consente di rigettare il ricorso senza ascolto del richiedente in caso di domanda manifestamente infondata, sia compatibile con tale disposizione, nonché con l’art. 47 della Carta dei diritti fondamentali dell’Unione europea. Nessuna deroga o limitazione è infatti consentita nella direttiva procedure relativamente alla tutela giurisdizionale che deve essere sempre effettiva, a prescindere dalla qualificazione della domanda come infondata o inammissibile.</w:t>
      </w:r>
    </w:p>
    <w:p w14:paraId="6E0651A1" w14:textId="21CC4520" w:rsidR="006D5FEA" w:rsidRPr="00361047" w:rsidRDefault="00366027"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lastRenderedPageBreak/>
        <w:t xml:space="preserve">Tuttavia, secondo la Corte di giustizia, una siffatta limitazione può essere ammessa quando il giudice decide un caso di manifesta infondatezza e quando può basarsi sulle memorie scritte nonché sui verbali della procedura amministrativa. La Corte giustifica questa interpretazione restrittiva di un diritto fondamentale (così qualificato espressamente anche al considerando n. 50 della stessa direttiva), alla luce della giurisprudenza rilevante della Corte </w:t>
      </w:r>
      <w:proofErr w:type="spellStart"/>
      <w:r w:rsidRPr="00361047">
        <w:rPr>
          <w:rFonts w:ascii="Times New Roman" w:hAnsi="Times New Roman" w:cs="Times New Roman"/>
          <w:lang w:val="it-IT"/>
        </w:rPr>
        <w:t>Edu</w:t>
      </w:r>
      <w:proofErr w:type="spellEnd"/>
      <w:r w:rsidR="00F40DB6" w:rsidRPr="00361047">
        <w:rPr>
          <w:rFonts w:ascii="Times New Roman" w:hAnsi="Times New Roman" w:cs="Times New Roman"/>
          <w:lang w:val="it-IT"/>
        </w:rPr>
        <w:t xml:space="preserve">. Sorprende, però, che </w:t>
      </w:r>
      <w:r w:rsidRPr="00361047">
        <w:rPr>
          <w:rFonts w:ascii="Times New Roman" w:hAnsi="Times New Roman" w:cs="Times New Roman"/>
          <w:lang w:val="it-IT"/>
        </w:rPr>
        <w:t>tale giurisprudenza</w:t>
      </w:r>
      <w:r w:rsidR="00F40DB6" w:rsidRPr="00361047">
        <w:rPr>
          <w:rFonts w:ascii="Times New Roman" w:hAnsi="Times New Roman" w:cs="Times New Roman"/>
          <w:lang w:val="it-IT"/>
        </w:rPr>
        <w:t xml:space="preserve"> non sia analiticamente considerata e che si tragga da essa un </w:t>
      </w:r>
      <w:r w:rsidRPr="00361047">
        <w:rPr>
          <w:rFonts w:ascii="Times New Roman" w:hAnsi="Times New Roman" w:cs="Times New Roman"/>
          <w:lang w:val="it-IT"/>
        </w:rPr>
        <w:t xml:space="preserve">principio interpretativo </w:t>
      </w:r>
      <w:r w:rsidR="00F40DB6" w:rsidRPr="00361047">
        <w:rPr>
          <w:rFonts w:ascii="Times New Roman" w:hAnsi="Times New Roman" w:cs="Times New Roman"/>
          <w:lang w:val="it-IT"/>
        </w:rPr>
        <w:t xml:space="preserve">che appare apodittico. Assente invece l’analisi dei presupposti che secondo la Corte </w:t>
      </w:r>
      <w:proofErr w:type="spellStart"/>
      <w:r w:rsidRPr="00361047">
        <w:rPr>
          <w:rFonts w:ascii="Times New Roman" w:hAnsi="Times New Roman" w:cs="Times New Roman"/>
          <w:lang w:val="it-IT"/>
        </w:rPr>
        <w:t>Edu</w:t>
      </w:r>
      <w:proofErr w:type="spellEnd"/>
      <w:r w:rsidRPr="00361047">
        <w:rPr>
          <w:rFonts w:ascii="Times New Roman" w:hAnsi="Times New Roman" w:cs="Times New Roman"/>
          <w:lang w:val="it-IT"/>
        </w:rPr>
        <w:t xml:space="preserve"> </w:t>
      </w:r>
      <w:r w:rsidR="00F40DB6" w:rsidRPr="00361047">
        <w:rPr>
          <w:rFonts w:ascii="Times New Roman" w:hAnsi="Times New Roman" w:cs="Times New Roman"/>
          <w:lang w:val="it-IT"/>
        </w:rPr>
        <w:t xml:space="preserve">possono giustificare una restrizione del diritto all’udienza pubblica e all’audizione, mentre ne sono presenti altri non considerati dalla stessa </w:t>
      </w:r>
      <w:r w:rsidR="00BA086A" w:rsidRPr="00361047">
        <w:rPr>
          <w:rFonts w:ascii="Times New Roman" w:hAnsi="Times New Roman" w:cs="Times New Roman"/>
          <w:lang w:val="it-IT"/>
        </w:rPr>
        <w:t xml:space="preserve">giurisprudenza della Corte </w:t>
      </w:r>
      <w:proofErr w:type="spellStart"/>
      <w:r w:rsidR="00BA086A" w:rsidRPr="00361047">
        <w:rPr>
          <w:rFonts w:ascii="Times New Roman" w:hAnsi="Times New Roman" w:cs="Times New Roman"/>
          <w:lang w:val="it-IT"/>
        </w:rPr>
        <w:t>Edu</w:t>
      </w:r>
      <w:proofErr w:type="spellEnd"/>
      <w:r w:rsidR="00BA086A" w:rsidRPr="00361047">
        <w:rPr>
          <w:rFonts w:ascii="Times New Roman" w:hAnsi="Times New Roman" w:cs="Times New Roman"/>
          <w:lang w:val="it-IT"/>
        </w:rPr>
        <w:t>.</w:t>
      </w:r>
    </w:p>
    <w:p w14:paraId="37EF44BA" w14:textId="77777777" w:rsidR="00B73C7C" w:rsidRPr="00361047" w:rsidRDefault="00BA086A"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t xml:space="preserve">Secondo </w:t>
      </w:r>
      <w:r w:rsidR="003A1020" w:rsidRPr="00361047">
        <w:rPr>
          <w:rFonts w:ascii="Times New Roman" w:hAnsi="Times New Roman" w:cs="Times New Roman"/>
          <w:lang w:val="it-IT"/>
        </w:rPr>
        <w:t xml:space="preserve">quest’ultima, infatti, </w:t>
      </w:r>
      <w:r w:rsidRPr="00361047">
        <w:rPr>
          <w:rFonts w:ascii="Times New Roman" w:hAnsi="Times New Roman" w:cs="Times New Roman"/>
          <w:lang w:val="it-IT"/>
        </w:rPr>
        <w:t xml:space="preserve">sono possibili </w:t>
      </w:r>
      <w:r w:rsidR="006D5FEA" w:rsidRPr="00361047">
        <w:rPr>
          <w:rFonts w:ascii="Times New Roman" w:hAnsi="Times New Roman" w:cs="Times New Roman"/>
          <w:lang w:val="it-IT"/>
        </w:rPr>
        <w:t>restrizioni del diritto ad essere ascoltato in udienza ma non anche dell’udienza tout court, che implica la possibilità di un confronto con i legali e la discussione orale e la facoltà di aggiungere osservazioni. È questo uno di quei casi nei quali vi è un’insidia nella traduzione del testo della convenzione, ma soprattutto delle sentenze della Corte, dove il termine “</w:t>
      </w:r>
      <w:proofErr w:type="spellStart"/>
      <w:r w:rsidR="006D5FEA" w:rsidRPr="00361047">
        <w:rPr>
          <w:rFonts w:ascii="Times New Roman" w:hAnsi="Times New Roman" w:cs="Times New Roman"/>
          <w:lang w:val="it-IT"/>
        </w:rPr>
        <w:t>hearing</w:t>
      </w:r>
      <w:proofErr w:type="spellEnd"/>
      <w:r w:rsidR="006D5FEA" w:rsidRPr="00361047">
        <w:rPr>
          <w:rFonts w:ascii="Times New Roman" w:hAnsi="Times New Roman" w:cs="Times New Roman"/>
          <w:lang w:val="it-IT"/>
        </w:rPr>
        <w:t>” è tradotto sia con udienza sia con audizione della parte. Ebbene, quando la Corte ammette restrizioni, si riferisce prevalentemente all’ascolto e lo qualifica, talvolta, come “</w:t>
      </w:r>
      <w:proofErr w:type="spellStart"/>
      <w:r w:rsidR="006D5FEA" w:rsidRPr="00361047">
        <w:rPr>
          <w:rFonts w:ascii="Times New Roman" w:hAnsi="Times New Roman" w:cs="Times New Roman"/>
          <w:lang w:val="it-IT"/>
        </w:rPr>
        <w:t>oral</w:t>
      </w:r>
      <w:proofErr w:type="spellEnd"/>
      <w:r w:rsidR="006D5FEA" w:rsidRPr="00361047">
        <w:rPr>
          <w:rFonts w:ascii="Times New Roman" w:hAnsi="Times New Roman" w:cs="Times New Roman"/>
          <w:lang w:val="it-IT"/>
        </w:rPr>
        <w:t xml:space="preserve"> </w:t>
      </w:r>
      <w:proofErr w:type="spellStart"/>
      <w:r w:rsidR="006D5FEA" w:rsidRPr="00361047">
        <w:rPr>
          <w:rFonts w:ascii="Times New Roman" w:hAnsi="Times New Roman" w:cs="Times New Roman"/>
          <w:lang w:val="it-IT"/>
        </w:rPr>
        <w:t>hearing</w:t>
      </w:r>
      <w:proofErr w:type="spellEnd"/>
      <w:r w:rsidR="006D5FEA" w:rsidRPr="00361047">
        <w:rPr>
          <w:rFonts w:ascii="Times New Roman" w:hAnsi="Times New Roman" w:cs="Times New Roman"/>
          <w:lang w:val="it-IT"/>
        </w:rPr>
        <w:t xml:space="preserve">”. In quei casi nei quali si è anche pronunciata sulla limitazione del diritto all’udienza, lo ha fatto solo limitatamente alla pubblicità della stessa. </w:t>
      </w:r>
    </w:p>
    <w:p w14:paraId="0376854D" w14:textId="0D9C1571" w:rsidR="006D5FEA" w:rsidRPr="00361047" w:rsidRDefault="006D5FEA"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t xml:space="preserve">Un processo senza un’udienza almeno in un grado di giudizio sarebbe infatti contrario non solo all’art. 6 </w:t>
      </w:r>
      <w:proofErr w:type="spellStart"/>
      <w:r w:rsidRPr="00361047">
        <w:rPr>
          <w:rFonts w:ascii="Times New Roman" w:hAnsi="Times New Roman" w:cs="Times New Roman"/>
          <w:lang w:val="it-IT"/>
        </w:rPr>
        <w:t>Cedu</w:t>
      </w:r>
      <w:proofErr w:type="spellEnd"/>
      <w:r w:rsidRPr="00361047">
        <w:rPr>
          <w:rFonts w:ascii="Times New Roman" w:hAnsi="Times New Roman" w:cs="Times New Roman"/>
          <w:lang w:val="it-IT"/>
        </w:rPr>
        <w:t xml:space="preserve"> ma anche all’art. 14 del Patto sui diritti civili e politici, in base al quale “[…] Ogni individuo ha diritto ad un'equa e pubblica udienza dinanzi a un tribunale competente, indipendente e imparziale, stabilito dalla legge, allorché si tratta […] di accertare i suoi diritti ed obblighi mediante un giudizio civile. Il processo può svolgersi totalmente o parzialmente a porte chiuse, sia per motivi di moralità, di ordine pubblico o di sicurezza nazionale in una società democratica, sia quando lo esiga l'interesse della vita privata delle parti in causa, sia, nella misura ritenuta strettamente necessaria dal tribunale, quando per circostanze particolari la pubblicità nuocerebbe agli interessi della giustizia […]). Anche l’art. 10 della Dichiarazione universale dei diritti umani è chiarissimo sul punto: “Ogni individuo ha diritto, in posizione di piena uguaglianza, ad una equa e pubblica udienza davanti ad un tribunale indipendente e imparziale, al fine della determinazione dei suoi diritti e dei suoi doveri, nonché della fondatezza di ogni accusa penale che gli venga rivolta”. </w:t>
      </w:r>
    </w:p>
    <w:p w14:paraId="74E49F87" w14:textId="455D7876" w:rsidR="006D5FEA" w:rsidRPr="00361047" w:rsidRDefault="006D5FEA"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t xml:space="preserve">Dall’art. 14 del Patto sui diritti civili e politici, così come dall’esame della giurisprudenza della Corte </w:t>
      </w:r>
      <w:proofErr w:type="spellStart"/>
      <w:r w:rsidRPr="00361047">
        <w:rPr>
          <w:rFonts w:ascii="Times New Roman" w:hAnsi="Times New Roman" w:cs="Times New Roman"/>
          <w:lang w:val="it-IT"/>
        </w:rPr>
        <w:t>Edu</w:t>
      </w:r>
      <w:proofErr w:type="spellEnd"/>
      <w:r w:rsidRPr="00361047">
        <w:rPr>
          <w:rFonts w:ascii="Times New Roman" w:hAnsi="Times New Roman" w:cs="Times New Roman"/>
          <w:lang w:val="it-IT"/>
        </w:rPr>
        <w:t xml:space="preserve">, risulta che le deroghe ammissibili sono quasi sempre in </w:t>
      </w:r>
      <w:proofErr w:type="spellStart"/>
      <w:r w:rsidRPr="00361047">
        <w:rPr>
          <w:rFonts w:ascii="Times New Roman" w:hAnsi="Times New Roman" w:cs="Times New Roman"/>
          <w:lang w:val="it-IT"/>
        </w:rPr>
        <w:t>bonam</w:t>
      </w:r>
      <w:proofErr w:type="spellEnd"/>
      <w:r w:rsidRPr="00361047">
        <w:rPr>
          <w:rFonts w:ascii="Times New Roman" w:hAnsi="Times New Roman" w:cs="Times New Roman"/>
          <w:lang w:val="it-IT"/>
        </w:rPr>
        <w:t xml:space="preserve"> </w:t>
      </w:r>
      <w:proofErr w:type="spellStart"/>
      <w:r w:rsidRPr="00361047">
        <w:rPr>
          <w:rFonts w:ascii="Times New Roman" w:hAnsi="Times New Roman" w:cs="Times New Roman"/>
          <w:lang w:val="it-IT"/>
        </w:rPr>
        <w:t>partem</w:t>
      </w:r>
      <w:proofErr w:type="spellEnd"/>
      <w:r w:rsidRPr="00361047">
        <w:rPr>
          <w:rFonts w:ascii="Times New Roman" w:hAnsi="Times New Roman" w:cs="Times New Roman"/>
          <w:lang w:val="it-IT"/>
        </w:rPr>
        <w:t xml:space="preserve"> o, comunque, deroghe motivate da ragioni di ordine pubblico. In particolare, secondo la Corte </w:t>
      </w:r>
      <w:proofErr w:type="spellStart"/>
      <w:r w:rsidRPr="00361047">
        <w:rPr>
          <w:rFonts w:ascii="Times New Roman" w:hAnsi="Times New Roman" w:cs="Times New Roman"/>
          <w:lang w:val="it-IT"/>
        </w:rPr>
        <w:t>Edu</w:t>
      </w:r>
      <w:proofErr w:type="spellEnd"/>
      <w:r w:rsidRPr="00361047">
        <w:rPr>
          <w:rFonts w:ascii="Times New Roman" w:hAnsi="Times New Roman" w:cs="Times New Roman"/>
          <w:lang w:val="it-IT"/>
        </w:rPr>
        <w:t xml:space="preserve">, l’audizione è indispensabile quando </w:t>
      </w:r>
      <w:r w:rsidR="003A1020" w:rsidRPr="00361047">
        <w:rPr>
          <w:rFonts w:ascii="Times New Roman" w:hAnsi="Times New Roman" w:cs="Times New Roman"/>
          <w:lang w:val="it-IT"/>
        </w:rPr>
        <w:t xml:space="preserve">decisione verte </w:t>
      </w:r>
      <w:r w:rsidRPr="00361047">
        <w:rPr>
          <w:rFonts w:ascii="Times New Roman" w:hAnsi="Times New Roman" w:cs="Times New Roman"/>
          <w:lang w:val="it-IT"/>
        </w:rPr>
        <w:t xml:space="preserve">su questioni importanti, quando vi sono fatti da accertare di notevole complessità oppure quando la credibilità o l’esperienza </w:t>
      </w:r>
      <w:r w:rsidRPr="00361047">
        <w:rPr>
          <w:rFonts w:ascii="Times New Roman" w:hAnsi="Times New Roman" w:cs="Times New Roman"/>
          <w:lang w:val="it-IT"/>
        </w:rPr>
        <w:lastRenderedPageBreak/>
        <w:t>personale del richiedente svolge un ruolo cruciale nella decisione</w:t>
      </w:r>
      <w:r w:rsidR="00215273" w:rsidRPr="00361047">
        <w:rPr>
          <w:rStyle w:val="Rimandonotaapidipagina"/>
          <w:rFonts w:ascii="Times New Roman" w:hAnsi="Times New Roman" w:cs="Times New Roman"/>
          <w:lang w:val="it-IT"/>
        </w:rPr>
        <w:footnoteReference w:id="17"/>
      </w:r>
      <w:r w:rsidRPr="00361047">
        <w:rPr>
          <w:rFonts w:ascii="Times New Roman" w:hAnsi="Times New Roman" w:cs="Times New Roman"/>
          <w:lang w:val="it-IT"/>
        </w:rPr>
        <w:t xml:space="preserve">. Ancora, la Corte </w:t>
      </w:r>
      <w:proofErr w:type="spellStart"/>
      <w:r w:rsidRPr="00361047">
        <w:rPr>
          <w:rFonts w:ascii="Times New Roman" w:hAnsi="Times New Roman" w:cs="Times New Roman"/>
          <w:lang w:val="it-IT"/>
        </w:rPr>
        <w:t>Edu</w:t>
      </w:r>
      <w:proofErr w:type="spellEnd"/>
      <w:r w:rsidRPr="00361047">
        <w:rPr>
          <w:rFonts w:ascii="Times New Roman" w:hAnsi="Times New Roman" w:cs="Times New Roman"/>
          <w:lang w:val="it-IT"/>
        </w:rPr>
        <w:t xml:space="preserve"> ha ritenuto legittima l’omissione dell’audizione in materia di sicurezza sociale, laddove il giudizio si fond</w:t>
      </w:r>
      <w:r w:rsidR="00CC0EA6" w:rsidRPr="00361047">
        <w:rPr>
          <w:rFonts w:ascii="Times New Roman" w:hAnsi="Times New Roman" w:cs="Times New Roman"/>
          <w:lang w:val="it-IT"/>
        </w:rPr>
        <w:t>i</w:t>
      </w:r>
      <w:r w:rsidRPr="00361047">
        <w:rPr>
          <w:rFonts w:ascii="Times New Roman" w:hAnsi="Times New Roman" w:cs="Times New Roman"/>
          <w:lang w:val="it-IT"/>
        </w:rPr>
        <w:t xml:space="preserve"> prevalentemente su perizie medico legali e l’audizione non </w:t>
      </w:r>
      <w:r w:rsidR="00CC0EA6" w:rsidRPr="00361047">
        <w:rPr>
          <w:rFonts w:ascii="Times New Roman" w:hAnsi="Times New Roman" w:cs="Times New Roman"/>
          <w:lang w:val="it-IT"/>
        </w:rPr>
        <w:t>sia</w:t>
      </w:r>
      <w:r w:rsidRPr="00361047">
        <w:rPr>
          <w:rFonts w:ascii="Times New Roman" w:hAnsi="Times New Roman" w:cs="Times New Roman"/>
          <w:lang w:val="it-IT"/>
        </w:rPr>
        <w:t xml:space="preserve"> stata richiesta.</w:t>
      </w:r>
    </w:p>
    <w:p w14:paraId="393F500C" w14:textId="77777777" w:rsidR="003A1020" w:rsidRPr="00361047" w:rsidRDefault="002B4821" w:rsidP="00806AD2">
      <w:pPr>
        <w:spacing w:after="0" w:line="240" w:lineRule="auto"/>
        <w:ind w:firstLine="340"/>
        <w:jc w:val="both"/>
        <w:rPr>
          <w:rFonts w:ascii="Times New Roman" w:hAnsi="Times New Roman" w:cs="Times New Roman"/>
          <w:lang w:val="en-US"/>
        </w:rPr>
      </w:pPr>
      <w:r w:rsidRPr="00361047">
        <w:rPr>
          <w:rFonts w:ascii="Times New Roman" w:hAnsi="Times New Roman" w:cs="Times New Roman"/>
          <w:lang w:val="it-IT"/>
        </w:rPr>
        <w:t xml:space="preserve">Alla luce di questi criteri, si deve ritenere che di regola nel ricorso giurisdizionale in materia di asilo vi debba essere non solo l’udienza ma almeno un’audizione in uno dei gradi del procedimento giurisdizionale e sicuramente quando vi sia un dubbio sulla credibilità del richiedente. </w:t>
      </w:r>
      <w:r w:rsidRPr="00361047">
        <w:rPr>
          <w:rFonts w:ascii="Times New Roman" w:hAnsi="Times New Roman" w:cs="Times New Roman"/>
          <w:lang w:val="en-US"/>
        </w:rPr>
        <w:t xml:space="preserve">Nella </w:t>
      </w:r>
      <w:proofErr w:type="spellStart"/>
      <w:r w:rsidRPr="00361047">
        <w:rPr>
          <w:rFonts w:ascii="Times New Roman" w:hAnsi="Times New Roman" w:cs="Times New Roman"/>
          <w:lang w:val="en-US"/>
        </w:rPr>
        <w:t>sentenza</w:t>
      </w:r>
      <w:proofErr w:type="spellEnd"/>
      <w:r w:rsidRPr="00361047">
        <w:rPr>
          <w:rFonts w:ascii="Times New Roman" w:hAnsi="Times New Roman" w:cs="Times New Roman"/>
          <w:lang w:val="en-US"/>
        </w:rPr>
        <w:t xml:space="preserve"> </w:t>
      </w:r>
      <w:proofErr w:type="spellStart"/>
      <w:r w:rsidRPr="00361047">
        <w:rPr>
          <w:rFonts w:ascii="Times New Roman" w:hAnsi="Times New Roman" w:cs="Times New Roman"/>
          <w:i/>
          <w:lang w:val="en-US"/>
        </w:rPr>
        <w:t>Jussila</w:t>
      </w:r>
      <w:proofErr w:type="spellEnd"/>
      <w:r w:rsidRPr="00361047">
        <w:rPr>
          <w:rFonts w:ascii="Times New Roman" w:hAnsi="Times New Roman" w:cs="Times New Roman"/>
          <w:lang w:val="en-US"/>
        </w:rPr>
        <w:t xml:space="preserve">, </w:t>
      </w:r>
      <w:proofErr w:type="spellStart"/>
      <w:r w:rsidRPr="00361047">
        <w:rPr>
          <w:rFonts w:ascii="Times New Roman" w:hAnsi="Times New Roman" w:cs="Times New Roman"/>
          <w:lang w:val="en-US"/>
        </w:rPr>
        <w:t>infatti</w:t>
      </w:r>
      <w:proofErr w:type="spellEnd"/>
      <w:r w:rsidRPr="00361047">
        <w:rPr>
          <w:rFonts w:ascii="Times New Roman" w:hAnsi="Times New Roman" w:cs="Times New Roman"/>
          <w:lang w:val="en-US"/>
        </w:rPr>
        <w:t xml:space="preserve">, la Corte Edu ha </w:t>
      </w:r>
      <w:proofErr w:type="spellStart"/>
      <w:r w:rsidRPr="00361047">
        <w:rPr>
          <w:rFonts w:ascii="Times New Roman" w:hAnsi="Times New Roman" w:cs="Times New Roman"/>
          <w:lang w:val="en-US"/>
        </w:rPr>
        <w:t>affermato</w:t>
      </w:r>
      <w:proofErr w:type="spellEnd"/>
      <w:r w:rsidRPr="00361047">
        <w:rPr>
          <w:rFonts w:ascii="Times New Roman" w:hAnsi="Times New Roman" w:cs="Times New Roman"/>
          <w:lang w:val="en-US"/>
        </w:rPr>
        <w:t xml:space="preserve"> the “[…] the obligation to hold a hearing is not absolute […] There may be proceedings in which an oral hearing may not be required: for example where there are no issues of credibility or contested facts which necessitate a hearing and the court may fairly and reasonably decide the case on the basis of the parties’ submissions and other written materials”</w:t>
      </w:r>
      <w:r w:rsidR="003A1020" w:rsidRPr="00361047">
        <w:rPr>
          <w:rStyle w:val="Rimandonotaapidipagina"/>
          <w:rFonts w:ascii="Times New Roman" w:hAnsi="Times New Roman" w:cs="Times New Roman"/>
          <w:lang w:val="en-US"/>
        </w:rPr>
        <w:footnoteReference w:id="18"/>
      </w:r>
      <w:r w:rsidRPr="00361047">
        <w:rPr>
          <w:rFonts w:ascii="Times New Roman" w:hAnsi="Times New Roman" w:cs="Times New Roman"/>
          <w:lang w:val="en-US"/>
        </w:rPr>
        <w:t xml:space="preserve">. </w:t>
      </w:r>
    </w:p>
    <w:p w14:paraId="374B766F" w14:textId="0E38E45F" w:rsidR="002B4821" w:rsidRPr="00361047" w:rsidRDefault="002B4821"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t xml:space="preserve">La Corte </w:t>
      </w:r>
      <w:proofErr w:type="spellStart"/>
      <w:r w:rsidRPr="00361047">
        <w:rPr>
          <w:rFonts w:ascii="Times New Roman" w:hAnsi="Times New Roman" w:cs="Times New Roman"/>
          <w:lang w:val="it-IT"/>
        </w:rPr>
        <w:t>Edu</w:t>
      </w:r>
      <w:proofErr w:type="spellEnd"/>
      <w:r w:rsidRPr="00361047">
        <w:rPr>
          <w:rFonts w:ascii="Times New Roman" w:hAnsi="Times New Roman" w:cs="Times New Roman"/>
          <w:lang w:val="it-IT"/>
        </w:rPr>
        <w:t xml:space="preserve"> ha inoltre sempre affermato che il diritto all’udienza è soddisfatto se vi sia almeno un’udienza nell’ambito di un ricorso giurisdizionale, ossia che non necessariamente deve esservi un’udienza in tutte le fasi del ricorso, ma che ve ne deve essere almeno una. </w:t>
      </w:r>
    </w:p>
    <w:p w14:paraId="7B54AFDD" w14:textId="77777777" w:rsidR="002B4821" w:rsidRPr="00361047" w:rsidRDefault="00BA086A"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t xml:space="preserve">La Corte di giustizia, invece, nel </w:t>
      </w:r>
      <w:r w:rsidR="006D5FEA" w:rsidRPr="00361047">
        <w:rPr>
          <w:rFonts w:ascii="Times New Roman" w:hAnsi="Times New Roman" w:cs="Times New Roman"/>
          <w:lang w:val="it-IT"/>
        </w:rPr>
        <w:t xml:space="preserve">caso </w:t>
      </w:r>
      <w:proofErr w:type="spellStart"/>
      <w:r w:rsidR="006D5FEA" w:rsidRPr="00361047">
        <w:rPr>
          <w:rFonts w:ascii="Times New Roman" w:hAnsi="Times New Roman" w:cs="Times New Roman"/>
          <w:i/>
          <w:lang w:val="it-IT"/>
        </w:rPr>
        <w:t>Sacko</w:t>
      </w:r>
      <w:proofErr w:type="spellEnd"/>
      <w:r w:rsidR="006D5FEA" w:rsidRPr="00361047">
        <w:rPr>
          <w:rFonts w:ascii="Times New Roman" w:hAnsi="Times New Roman" w:cs="Times New Roman"/>
          <w:lang w:val="it-IT"/>
        </w:rPr>
        <w:t xml:space="preserve"> </w:t>
      </w:r>
      <w:r w:rsidRPr="00361047">
        <w:rPr>
          <w:rFonts w:ascii="Times New Roman" w:hAnsi="Times New Roman" w:cs="Times New Roman"/>
          <w:lang w:val="it-IT"/>
        </w:rPr>
        <w:t xml:space="preserve">ritiene ammissibile una restrizione del diritto all’audizione, adducendo tuttavia motivazioni e giustificazioni diverse rispetto a quelle che emergono dalla giurisprudenza della Corte </w:t>
      </w:r>
      <w:proofErr w:type="spellStart"/>
      <w:r w:rsidRPr="00361047">
        <w:rPr>
          <w:rFonts w:ascii="Times New Roman" w:hAnsi="Times New Roman" w:cs="Times New Roman"/>
          <w:lang w:val="it-IT"/>
        </w:rPr>
        <w:t>Edu</w:t>
      </w:r>
      <w:proofErr w:type="spellEnd"/>
      <w:r w:rsidRPr="00361047">
        <w:rPr>
          <w:rFonts w:ascii="Times New Roman" w:hAnsi="Times New Roman" w:cs="Times New Roman"/>
          <w:lang w:val="it-IT"/>
        </w:rPr>
        <w:t xml:space="preserve">. </w:t>
      </w:r>
    </w:p>
    <w:p w14:paraId="0AA42E18" w14:textId="3996552B" w:rsidR="003A1020" w:rsidRPr="00361047" w:rsidRDefault="002B4821"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t>Uno degli argomenti utilizzati dalla Corte di giustizia per giustificare la compressione del diritto all’audizione è la stretta connessione tra la fase giurisdizionale e la fase amministrativa</w:t>
      </w:r>
      <w:r w:rsidR="003A1020" w:rsidRPr="00361047">
        <w:rPr>
          <w:rFonts w:ascii="Times New Roman" w:hAnsi="Times New Roman" w:cs="Times New Roman"/>
          <w:lang w:val="it-IT"/>
        </w:rPr>
        <w:t xml:space="preserve"> che, invece, la Corte </w:t>
      </w:r>
      <w:proofErr w:type="spellStart"/>
      <w:r w:rsidR="003A1020" w:rsidRPr="00361047">
        <w:rPr>
          <w:rFonts w:ascii="Times New Roman" w:hAnsi="Times New Roman" w:cs="Times New Roman"/>
          <w:lang w:val="it-IT"/>
        </w:rPr>
        <w:t>Edu</w:t>
      </w:r>
      <w:proofErr w:type="spellEnd"/>
      <w:r w:rsidR="003A1020" w:rsidRPr="00361047">
        <w:rPr>
          <w:rFonts w:ascii="Times New Roman" w:hAnsi="Times New Roman" w:cs="Times New Roman"/>
          <w:lang w:val="it-IT"/>
        </w:rPr>
        <w:t xml:space="preserve"> non ha mai ritenuto rilevante di per sé al fine di escludere l’audizione nella fase giurisdizionale.</w:t>
      </w:r>
    </w:p>
    <w:p w14:paraId="5A211DDF" w14:textId="5A2BD339" w:rsidR="002B4821" w:rsidRPr="00361047" w:rsidRDefault="002B4821"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t xml:space="preserve">La Corte si esprime addirittura indicando la fase giurisdizionale come un secondo grado rispetto a quella amministrativa, qualificata come “la procedura di primo grado”. A questo riguardo, la Corte non fa che ripetere quella infelice formulazione presente nella direttiva procedure, in base alla quale la procedura amministrativa, invece che essere qualificata semplicemente come tale, viene definita come procedura di primo grado, pur non essendoci alcun secondo grado amministrativo, a meno di non voler intendere in questi termini la procedura di revoca dello </w:t>
      </w:r>
      <w:r w:rsidRPr="00361047">
        <w:rPr>
          <w:rFonts w:ascii="Times New Roman" w:hAnsi="Times New Roman" w:cs="Times New Roman"/>
          <w:i/>
          <w:lang w:val="it-IT"/>
        </w:rPr>
        <w:t>status</w:t>
      </w:r>
      <w:r w:rsidRPr="00361047">
        <w:rPr>
          <w:rFonts w:ascii="Times New Roman" w:hAnsi="Times New Roman" w:cs="Times New Roman"/>
          <w:lang w:val="it-IT"/>
        </w:rPr>
        <w:t xml:space="preserve"> di cui agli articoli 44 e 45 della direttiva procedure. Ciò che però non è ammissibile, in quanto ontologicamente errato, è qualificare un procedimento giurisdizionale come un secondo grado della procedura amministrativa e da questo </w:t>
      </w:r>
      <w:r w:rsidR="003A1020" w:rsidRPr="00361047">
        <w:rPr>
          <w:rFonts w:ascii="Times New Roman" w:hAnsi="Times New Roman" w:cs="Times New Roman"/>
          <w:lang w:val="it-IT"/>
        </w:rPr>
        <w:t xml:space="preserve">far </w:t>
      </w:r>
      <w:r w:rsidRPr="00361047">
        <w:rPr>
          <w:rFonts w:ascii="Times New Roman" w:hAnsi="Times New Roman" w:cs="Times New Roman"/>
          <w:lang w:val="it-IT"/>
        </w:rPr>
        <w:t xml:space="preserve">derivare una possibilità di attenuazione dei diritti generalmente riconosciuti nella fase giurisdizionale. La tutela giurisdizionale, infatti, non è solo volta a verificare la correttezza dell’operato dell’amministrazione, ma consente al giudice di esercitare la propria e piena cognizione sul diritto fondamentale alla </w:t>
      </w:r>
      <w:r w:rsidRPr="00361047">
        <w:rPr>
          <w:rFonts w:ascii="Times New Roman" w:hAnsi="Times New Roman" w:cs="Times New Roman"/>
          <w:lang w:val="it-IT"/>
        </w:rPr>
        <w:lastRenderedPageBreak/>
        <w:t>protezione internazionale</w:t>
      </w:r>
      <w:r w:rsidR="003E165B" w:rsidRPr="00361047">
        <w:rPr>
          <w:rStyle w:val="Rimandonotaapidipagina"/>
          <w:rFonts w:ascii="Times New Roman" w:hAnsi="Times New Roman" w:cs="Times New Roman"/>
          <w:lang w:val="it-IT"/>
        </w:rPr>
        <w:footnoteReference w:id="19"/>
      </w:r>
      <w:r w:rsidRPr="00361047">
        <w:rPr>
          <w:rFonts w:ascii="Times New Roman" w:hAnsi="Times New Roman" w:cs="Times New Roman"/>
          <w:lang w:val="it-IT"/>
        </w:rPr>
        <w:t>. D’altra parte, l’argomento impiegato dalla Corte circa la stretta connessone tra la procedura di ricorso giurisdizionale e la procedura di primo grado che la precede è inconferente, dato che tale connessione esiste sempre, in qualsiasi ricorso avverso un atto amministrativo: potrebbe non sussistere uno stretto legame tra ricorso e la procedura cha ha portato all’adozione dell’atto impugnato?</w:t>
      </w:r>
    </w:p>
    <w:p w14:paraId="4383DAE3" w14:textId="77777777" w:rsidR="002B4821" w:rsidRPr="00361047" w:rsidRDefault="002B4821"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t>Inoltre, nella sentenza appare quell’ambiguità nella traduzione del termine “</w:t>
      </w:r>
      <w:proofErr w:type="spellStart"/>
      <w:r w:rsidRPr="00361047">
        <w:rPr>
          <w:rFonts w:ascii="Times New Roman" w:hAnsi="Times New Roman" w:cs="Times New Roman"/>
          <w:lang w:val="it-IT"/>
        </w:rPr>
        <w:t>hearing</w:t>
      </w:r>
      <w:proofErr w:type="spellEnd"/>
      <w:r w:rsidRPr="00361047">
        <w:rPr>
          <w:rFonts w:ascii="Times New Roman" w:hAnsi="Times New Roman" w:cs="Times New Roman"/>
          <w:lang w:val="it-IT"/>
        </w:rPr>
        <w:t>” a cui si è sopra accennato. Ad esempio, nel par. 37 della versione linguistica italiana si impiega il termine “audizione”, mentre nel par. 40 “udienza” come fossero sinonimi. Nella versione inglese troviamo in entrambi i casi “</w:t>
      </w:r>
      <w:proofErr w:type="spellStart"/>
      <w:r w:rsidRPr="00361047">
        <w:rPr>
          <w:rFonts w:ascii="Times New Roman" w:hAnsi="Times New Roman" w:cs="Times New Roman"/>
          <w:lang w:val="it-IT"/>
        </w:rPr>
        <w:t>hearing</w:t>
      </w:r>
      <w:proofErr w:type="spellEnd"/>
      <w:r w:rsidRPr="00361047">
        <w:rPr>
          <w:rFonts w:ascii="Times New Roman" w:hAnsi="Times New Roman" w:cs="Times New Roman"/>
          <w:lang w:val="it-IT"/>
        </w:rPr>
        <w:t xml:space="preserve">”. Si consideri che il rinvio pregiudiziale del Tribunale di Milano riguardava specificatamente i casi di “definizione con rigetto de plano del ricorso […] senza audizione” e non senza udienza. </w:t>
      </w:r>
    </w:p>
    <w:p w14:paraId="6B4958ED" w14:textId="2C264785" w:rsidR="006D5FEA" w:rsidRPr="00361047" w:rsidRDefault="00BA086A"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t xml:space="preserve">Tuttavia, </w:t>
      </w:r>
      <w:r w:rsidR="002B4821" w:rsidRPr="00361047">
        <w:rPr>
          <w:rFonts w:ascii="Times New Roman" w:hAnsi="Times New Roman" w:cs="Times New Roman"/>
          <w:lang w:val="it-IT"/>
        </w:rPr>
        <w:t xml:space="preserve">in mancanza di applicazione dei criteri elaborati dalla Corte </w:t>
      </w:r>
      <w:proofErr w:type="spellStart"/>
      <w:r w:rsidR="002B4821" w:rsidRPr="00361047">
        <w:rPr>
          <w:rFonts w:ascii="Times New Roman" w:hAnsi="Times New Roman" w:cs="Times New Roman"/>
          <w:lang w:val="it-IT"/>
        </w:rPr>
        <w:t>Edu</w:t>
      </w:r>
      <w:proofErr w:type="spellEnd"/>
      <w:r w:rsidR="002B4821" w:rsidRPr="00361047">
        <w:rPr>
          <w:rFonts w:ascii="Times New Roman" w:hAnsi="Times New Roman" w:cs="Times New Roman"/>
          <w:lang w:val="it-IT"/>
        </w:rPr>
        <w:t xml:space="preserve"> e la rilevanza attribuita ad aspetti che non emergono nella giurisprudenza della Corte </w:t>
      </w:r>
      <w:proofErr w:type="spellStart"/>
      <w:r w:rsidR="002B4821" w:rsidRPr="00361047">
        <w:rPr>
          <w:rFonts w:ascii="Times New Roman" w:hAnsi="Times New Roman" w:cs="Times New Roman"/>
          <w:lang w:val="it-IT"/>
        </w:rPr>
        <w:t>Edu</w:t>
      </w:r>
      <w:proofErr w:type="spellEnd"/>
      <w:r w:rsidR="002B4821" w:rsidRPr="00361047">
        <w:rPr>
          <w:rFonts w:ascii="Times New Roman" w:hAnsi="Times New Roman" w:cs="Times New Roman"/>
          <w:lang w:val="it-IT"/>
        </w:rPr>
        <w:t xml:space="preserve">, </w:t>
      </w:r>
      <w:r w:rsidR="006D5FEA" w:rsidRPr="00361047">
        <w:rPr>
          <w:rFonts w:ascii="Times New Roman" w:hAnsi="Times New Roman" w:cs="Times New Roman"/>
          <w:lang w:val="it-IT"/>
        </w:rPr>
        <w:t xml:space="preserve">la giustificazione alla limitazione dei diritti del giusto processo non può che essere trovata in scelte di politica del diritto, primariamente orientate a ridurre i carichi pendenti, come peraltro chiaramente indicato nella stessa questione pregiudiziale formulata dal Tribunale di Milano e dalla quale ha avuto origine la sentenza </w:t>
      </w:r>
      <w:proofErr w:type="spellStart"/>
      <w:r w:rsidR="006D5FEA" w:rsidRPr="00361047">
        <w:rPr>
          <w:rFonts w:ascii="Times New Roman" w:hAnsi="Times New Roman" w:cs="Times New Roman"/>
          <w:i/>
          <w:lang w:val="it-IT"/>
        </w:rPr>
        <w:t>Sacko</w:t>
      </w:r>
      <w:proofErr w:type="spellEnd"/>
      <w:r w:rsidR="003A1020" w:rsidRPr="00361047">
        <w:rPr>
          <w:rStyle w:val="Rimandonotaapidipagina"/>
          <w:rFonts w:ascii="Times New Roman" w:hAnsi="Times New Roman" w:cs="Times New Roman"/>
          <w:iCs/>
          <w:lang w:val="it-IT"/>
        </w:rPr>
        <w:footnoteReference w:id="20"/>
      </w:r>
      <w:r w:rsidR="006D5FEA" w:rsidRPr="00361047">
        <w:rPr>
          <w:rFonts w:ascii="Times New Roman" w:hAnsi="Times New Roman" w:cs="Times New Roman"/>
          <w:iCs/>
          <w:lang w:val="it-IT"/>
        </w:rPr>
        <w:t>.</w:t>
      </w:r>
      <w:r w:rsidR="006D5FEA" w:rsidRPr="00361047">
        <w:rPr>
          <w:rFonts w:ascii="Times New Roman" w:hAnsi="Times New Roman" w:cs="Times New Roman"/>
          <w:lang w:val="it-IT"/>
        </w:rPr>
        <w:t xml:space="preserve"> Se è vero che le decisioni in materia d’asilo, come peraltro tutte le decisioni e tutte le sentenze, devono essere prese quanto prima possibile, è altrettanto innegabile che, come la stessa Corte riconosce, Stati e giudici non possono comprimere le garanzie di cui all’art. 47 della Carta e ridurre l’effettività della tutela giurisdizionale dello straniero per ragioni legate al numero dei ricorsi e alla celerità delle procedure, amministrative e giurisdizionali. Rapidità ed efficienza sono valori che assumono significato solo se non vengono scissi dalla qualità della decisione amministrativa, dei ricorsi giurisdizionali e delle sentenze. L’efficienza senza la qualità, infatti, riduce il numero dei ricorsi pendenti ma anche il livello dei diritti garantiti. </w:t>
      </w:r>
    </w:p>
    <w:p w14:paraId="59861DA4" w14:textId="216AC129" w:rsidR="002B4821" w:rsidRPr="00361047" w:rsidRDefault="002B4821" w:rsidP="00806AD2">
      <w:pPr>
        <w:spacing w:after="0" w:line="240" w:lineRule="auto"/>
        <w:ind w:firstLine="340"/>
        <w:jc w:val="both"/>
        <w:rPr>
          <w:rFonts w:ascii="Times New Roman" w:hAnsi="Times New Roman" w:cs="Times New Roman"/>
          <w:lang w:val="it-IT"/>
        </w:rPr>
      </w:pPr>
      <w:r w:rsidRPr="00361047">
        <w:rPr>
          <w:rFonts w:ascii="Times New Roman" w:hAnsi="Times New Roman" w:cs="Times New Roman"/>
          <w:lang w:val="it-IT"/>
        </w:rPr>
        <w:t xml:space="preserve">Il risultato finale è una sorta di applicazione </w:t>
      </w:r>
      <w:r w:rsidRPr="00361047">
        <w:rPr>
          <w:rFonts w:ascii="Times New Roman" w:hAnsi="Times New Roman" w:cs="Times New Roman"/>
          <w:i/>
          <w:iCs/>
          <w:lang w:val="it-IT"/>
        </w:rPr>
        <w:t xml:space="preserve">de </w:t>
      </w:r>
      <w:proofErr w:type="spellStart"/>
      <w:r w:rsidRPr="00361047">
        <w:rPr>
          <w:rFonts w:ascii="Times New Roman" w:hAnsi="Times New Roman" w:cs="Times New Roman"/>
          <w:i/>
          <w:iCs/>
          <w:lang w:val="it-IT"/>
        </w:rPr>
        <w:t>minimis</w:t>
      </w:r>
      <w:proofErr w:type="spellEnd"/>
      <w:r w:rsidRPr="00361047">
        <w:rPr>
          <w:rFonts w:ascii="Times New Roman" w:hAnsi="Times New Roman" w:cs="Times New Roman"/>
          <w:lang w:val="it-IT"/>
        </w:rPr>
        <w:t xml:space="preserve"> del diritto al giusto processo applicato alla protezione internazionale. A dimostrazione di quanto si affermava sopra, ossia che il diritto fondamentale applicato ad una situazione giuridica soggettiva debole come quella degli stranieri, inclusi i richiedenti asilo, risulta avere una portata diversa rispetto a quella che avrebbe se applicato a cittadini dell’Unione. </w:t>
      </w:r>
    </w:p>
    <w:bookmarkEnd w:id="1"/>
    <w:p w14:paraId="7B2E02D9" w14:textId="507F0096" w:rsidR="006D5FEA" w:rsidRPr="00361047" w:rsidRDefault="006D5FEA" w:rsidP="00806AD2">
      <w:pPr>
        <w:spacing w:after="0" w:line="240" w:lineRule="auto"/>
        <w:jc w:val="both"/>
        <w:rPr>
          <w:rFonts w:ascii="Times New Roman" w:hAnsi="Times New Roman" w:cs="Times New Roman"/>
          <w:lang w:val="it-IT"/>
        </w:rPr>
      </w:pPr>
    </w:p>
    <w:p w14:paraId="7AD63AA9" w14:textId="04DB18C8" w:rsidR="008D64E2" w:rsidRPr="00361047" w:rsidRDefault="00361047" w:rsidP="00361047">
      <w:pPr>
        <w:spacing w:after="0" w:line="240" w:lineRule="auto"/>
        <w:jc w:val="both"/>
        <w:rPr>
          <w:rFonts w:ascii="Times New Roman" w:hAnsi="Times New Roman" w:cs="Times New Roman"/>
          <w:b/>
          <w:lang w:val="it-IT"/>
        </w:rPr>
      </w:pPr>
      <w:r>
        <w:rPr>
          <w:rFonts w:ascii="Times New Roman" w:hAnsi="Times New Roman" w:cs="Times New Roman"/>
          <w:b/>
          <w:lang w:val="it-IT"/>
        </w:rPr>
        <w:t>2.c.</w:t>
      </w:r>
      <w:r w:rsidR="00E7275E" w:rsidRPr="00361047">
        <w:rPr>
          <w:rFonts w:ascii="Times New Roman" w:hAnsi="Times New Roman" w:cs="Times New Roman"/>
          <w:b/>
          <w:lang w:val="it-IT"/>
        </w:rPr>
        <w:t xml:space="preserve"> </w:t>
      </w:r>
      <w:r w:rsidR="00536244" w:rsidRPr="00361047">
        <w:rPr>
          <w:rFonts w:ascii="Times New Roman" w:hAnsi="Times New Roman" w:cs="Times New Roman"/>
          <w:lang w:val="it-IT"/>
        </w:rPr>
        <w:t xml:space="preserve">Un altro interessante caso di applicazione </w:t>
      </w:r>
      <w:r w:rsidR="00E630C1" w:rsidRPr="00361047">
        <w:rPr>
          <w:rFonts w:ascii="Times New Roman" w:hAnsi="Times New Roman" w:cs="Times New Roman"/>
          <w:lang w:val="it-IT"/>
        </w:rPr>
        <w:t xml:space="preserve">restrittiva </w:t>
      </w:r>
      <w:r w:rsidR="00536244" w:rsidRPr="00361047">
        <w:rPr>
          <w:rFonts w:ascii="Times New Roman" w:hAnsi="Times New Roman" w:cs="Times New Roman"/>
          <w:lang w:val="it-IT"/>
        </w:rPr>
        <w:t>del diritto ad un ricorso effettivo</w:t>
      </w:r>
      <w:r w:rsidR="00FB6D14" w:rsidRPr="00361047">
        <w:rPr>
          <w:rFonts w:ascii="Times New Roman" w:hAnsi="Times New Roman" w:cs="Times New Roman"/>
          <w:lang w:val="it-IT"/>
        </w:rPr>
        <w:t xml:space="preserve"> </w:t>
      </w:r>
      <w:r w:rsidR="00A677F5" w:rsidRPr="00361047">
        <w:rPr>
          <w:rFonts w:ascii="Times New Roman" w:hAnsi="Times New Roman" w:cs="Times New Roman"/>
          <w:lang w:val="it-IT"/>
        </w:rPr>
        <w:t>è quello relativo a</w:t>
      </w:r>
      <w:r w:rsidR="008D64E2" w:rsidRPr="00361047">
        <w:rPr>
          <w:rFonts w:ascii="Times New Roman" w:hAnsi="Times New Roman" w:cs="Times New Roman"/>
          <w:lang w:val="it-IT"/>
        </w:rPr>
        <w:t xml:space="preserve">l diritto di ricorso giurisdizionale </w:t>
      </w:r>
      <w:r w:rsidR="00A677F5" w:rsidRPr="00361047">
        <w:rPr>
          <w:rFonts w:ascii="Times New Roman" w:hAnsi="Times New Roman" w:cs="Times New Roman"/>
          <w:lang w:val="it-IT"/>
        </w:rPr>
        <w:t xml:space="preserve">avverso il diniego della </w:t>
      </w:r>
      <w:r w:rsidR="00D26BC2" w:rsidRPr="00361047">
        <w:rPr>
          <w:rFonts w:ascii="Times New Roman" w:hAnsi="Times New Roman" w:cs="Times New Roman"/>
          <w:lang w:val="it-IT"/>
        </w:rPr>
        <w:t xml:space="preserve">richiesta di </w:t>
      </w:r>
      <w:r w:rsidR="00A677F5" w:rsidRPr="00361047">
        <w:rPr>
          <w:rFonts w:ascii="Times New Roman" w:hAnsi="Times New Roman" w:cs="Times New Roman"/>
          <w:lang w:val="it-IT"/>
        </w:rPr>
        <w:t>protezione.</w:t>
      </w:r>
      <w:r w:rsidR="003A1020" w:rsidRPr="00361047">
        <w:rPr>
          <w:rFonts w:ascii="Times New Roman" w:hAnsi="Times New Roman" w:cs="Times New Roman"/>
          <w:lang w:val="it-IT"/>
        </w:rPr>
        <w:t xml:space="preserve"> </w:t>
      </w:r>
      <w:r w:rsidR="00DA276F" w:rsidRPr="00361047">
        <w:rPr>
          <w:rFonts w:ascii="Times New Roman" w:hAnsi="Times New Roman" w:cs="Times New Roman"/>
          <w:lang w:val="it-IT"/>
        </w:rPr>
        <w:t>Ancora una volta si farà riferimento ad una pronuncia della Corte di giustizia originata da un caso italiano.</w:t>
      </w:r>
      <w:r w:rsidR="000433D3" w:rsidRPr="00361047">
        <w:rPr>
          <w:rFonts w:ascii="Times New Roman" w:hAnsi="Times New Roman" w:cs="Times New Roman"/>
          <w:lang w:val="it-IT"/>
        </w:rPr>
        <w:t xml:space="preserve"> </w:t>
      </w:r>
      <w:r w:rsidR="00A04621" w:rsidRPr="00361047">
        <w:rPr>
          <w:rFonts w:ascii="Times New Roman" w:hAnsi="Times New Roman" w:cs="Times New Roman"/>
          <w:lang w:val="it-IT"/>
        </w:rPr>
        <w:lastRenderedPageBreak/>
        <w:t>Nell’ordinamento italiano nella quasi generalità delle controversie è possibile esperire tr</w:t>
      </w:r>
      <w:r w:rsidR="008D4085" w:rsidRPr="00361047">
        <w:rPr>
          <w:rFonts w:ascii="Times New Roman" w:hAnsi="Times New Roman" w:cs="Times New Roman"/>
          <w:lang w:val="it-IT"/>
        </w:rPr>
        <w:t>e</w:t>
      </w:r>
      <w:r w:rsidR="00A04621" w:rsidRPr="00361047">
        <w:rPr>
          <w:rFonts w:ascii="Times New Roman" w:hAnsi="Times New Roman" w:cs="Times New Roman"/>
          <w:lang w:val="it-IT"/>
        </w:rPr>
        <w:t xml:space="preserve"> gradi di giudizio, due di merito e uno di legittimità in Cassazione. </w:t>
      </w:r>
      <w:r w:rsidR="00E021B1" w:rsidRPr="00361047">
        <w:rPr>
          <w:rFonts w:ascii="Times New Roman" w:hAnsi="Times New Roman" w:cs="Times New Roman"/>
          <w:lang w:val="it-IT"/>
        </w:rPr>
        <w:t>Lo stesso era applicabile anche in materia di protezione internazionale fino all’adozione del</w:t>
      </w:r>
      <w:r w:rsidR="00714C63" w:rsidRPr="00361047">
        <w:rPr>
          <w:rFonts w:ascii="Times New Roman" w:hAnsi="Times New Roman" w:cs="Times New Roman"/>
          <w:lang w:val="it-IT"/>
        </w:rPr>
        <w:t xml:space="preserve"> DL 17 febbraio 2017 n. 13, convertito nella legge 13 aprile 2017 n. 46</w:t>
      </w:r>
      <w:r w:rsidR="00E021B1" w:rsidRPr="00361047">
        <w:rPr>
          <w:rFonts w:ascii="Times New Roman" w:hAnsi="Times New Roman" w:cs="Times New Roman"/>
          <w:lang w:val="it-IT"/>
        </w:rPr>
        <w:t>, che ha radicalmente innova</w:t>
      </w:r>
      <w:r w:rsidR="001527D6" w:rsidRPr="00361047">
        <w:rPr>
          <w:rFonts w:ascii="Times New Roman" w:hAnsi="Times New Roman" w:cs="Times New Roman"/>
          <w:lang w:val="it-IT"/>
        </w:rPr>
        <w:t xml:space="preserve">to eliminando la possibilità di ricorrere in appello, introducendo una disparità di trattamento </w:t>
      </w:r>
      <w:r w:rsidR="008C19F5" w:rsidRPr="00361047">
        <w:rPr>
          <w:rFonts w:ascii="Times New Roman" w:hAnsi="Times New Roman" w:cs="Times New Roman"/>
          <w:lang w:val="it-IT"/>
        </w:rPr>
        <w:t>tra la materia della protezione internazionale e l</w:t>
      </w:r>
      <w:r w:rsidR="00CC60DD" w:rsidRPr="00361047">
        <w:rPr>
          <w:rFonts w:ascii="Times New Roman" w:hAnsi="Times New Roman" w:cs="Times New Roman"/>
          <w:lang w:val="it-IT"/>
        </w:rPr>
        <w:t>a generalità degli altri settori del diritto</w:t>
      </w:r>
      <w:r w:rsidR="008C19F5" w:rsidRPr="00361047">
        <w:rPr>
          <w:rFonts w:ascii="Times New Roman" w:hAnsi="Times New Roman" w:cs="Times New Roman"/>
          <w:lang w:val="it-IT"/>
        </w:rPr>
        <w:t>. La ragione principale è stata quella di r</w:t>
      </w:r>
      <w:r w:rsidR="007D557E" w:rsidRPr="00361047">
        <w:rPr>
          <w:rFonts w:ascii="Times New Roman" w:hAnsi="Times New Roman" w:cs="Times New Roman"/>
          <w:lang w:val="it-IT"/>
        </w:rPr>
        <w:t xml:space="preserve">idurre i tempi dei </w:t>
      </w:r>
      <w:r w:rsidR="008C19F5" w:rsidRPr="00361047">
        <w:rPr>
          <w:rFonts w:ascii="Times New Roman" w:hAnsi="Times New Roman" w:cs="Times New Roman"/>
          <w:lang w:val="it-IT"/>
        </w:rPr>
        <w:t>ricorsi giurisdizional</w:t>
      </w:r>
      <w:r w:rsidR="007D557E" w:rsidRPr="00361047">
        <w:rPr>
          <w:rFonts w:ascii="Times New Roman" w:hAnsi="Times New Roman" w:cs="Times New Roman"/>
          <w:lang w:val="it-IT"/>
        </w:rPr>
        <w:t xml:space="preserve">i, ritenuti </w:t>
      </w:r>
      <w:r w:rsidR="00D04634" w:rsidRPr="00361047">
        <w:rPr>
          <w:rFonts w:ascii="Times New Roman" w:hAnsi="Times New Roman" w:cs="Times New Roman"/>
          <w:lang w:val="it-IT"/>
        </w:rPr>
        <w:t>in molti casi</w:t>
      </w:r>
      <w:r w:rsidR="007D557E" w:rsidRPr="00361047">
        <w:rPr>
          <w:rFonts w:ascii="Times New Roman" w:hAnsi="Times New Roman" w:cs="Times New Roman"/>
          <w:lang w:val="it-IT"/>
        </w:rPr>
        <w:t xml:space="preserve"> abusivi e presentati solo al fine di protrarre </w:t>
      </w:r>
      <w:r w:rsidR="00D4350F" w:rsidRPr="00361047">
        <w:rPr>
          <w:rFonts w:ascii="Times New Roman" w:hAnsi="Times New Roman" w:cs="Times New Roman"/>
          <w:lang w:val="it-IT"/>
        </w:rPr>
        <w:t>la durata della permanenza in Italia</w:t>
      </w:r>
      <w:r w:rsidR="00D04634" w:rsidRPr="00361047">
        <w:rPr>
          <w:rFonts w:ascii="Times New Roman" w:hAnsi="Times New Roman" w:cs="Times New Roman"/>
          <w:lang w:val="it-IT"/>
        </w:rPr>
        <w:t xml:space="preserve"> di persone non aventi altrimenti altro titolo legale </w:t>
      </w:r>
      <w:r w:rsidR="00CC60DD" w:rsidRPr="00361047">
        <w:rPr>
          <w:rFonts w:ascii="Times New Roman" w:hAnsi="Times New Roman" w:cs="Times New Roman"/>
          <w:lang w:val="it-IT"/>
        </w:rPr>
        <w:t xml:space="preserve">di </w:t>
      </w:r>
      <w:r w:rsidR="00D04634" w:rsidRPr="00361047">
        <w:rPr>
          <w:rFonts w:ascii="Times New Roman" w:hAnsi="Times New Roman" w:cs="Times New Roman"/>
          <w:lang w:val="it-IT"/>
        </w:rPr>
        <w:t>soggiorn</w:t>
      </w:r>
      <w:r w:rsidR="00CC60DD" w:rsidRPr="00361047">
        <w:rPr>
          <w:rFonts w:ascii="Times New Roman" w:hAnsi="Times New Roman" w:cs="Times New Roman"/>
          <w:lang w:val="it-IT"/>
        </w:rPr>
        <w:t>o</w:t>
      </w:r>
      <w:r w:rsidR="00C37E2A" w:rsidRPr="00361047">
        <w:rPr>
          <w:rFonts w:ascii="Times New Roman" w:hAnsi="Times New Roman" w:cs="Times New Roman"/>
          <w:lang w:val="it-IT"/>
        </w:rPr>
        <w:t>.</w:t>
      </w:r>
      <w:r w:rsidR="009F1FFD" w:rsidRPr="00361047">
        <w:rPr>
          <w:rFonts w:ascii="Times New Roman" w:hAnsi="Times New Roman" w:cs="Times New Roman"/>
          <w:lang w:val="it-IT"/>
        </w:rPr>
        <w:t xml:space="preserve"> E ciò, nonostante sia un dato acquisito che quel</w:t>
      </w:r>
      <w:r w:rsidR="00D04634" w:rsidRPr="00361047">
        <w:rPr>
          <w:rFonts w:ascii="Times New Roman" w:hAnsi="Times New Roman" w:cs="Times New Roman"/>
          <w:lang w:val="it-IT"/>
        </w:rPr>
        <w:t xml:space="preserve">le stesse persone sarebbero difficilmente rimpatriabili </w:t>
      </w:r>
      <w:r w:rsidR="00133BDB" w:rsidRPr="00361047">
        <w:rPr>
          <w:rFonts w:ascii="Times New Roman" w:hAnsi="Times New Roman" w:cs="Times New Roman"/>
          <w:lang w:val="it-IT"/>
        </w:rPr>
        <w:t>nel proprio Paese di origine, stante il numero ridotto di misure di allontanamento effettivamente eseguibili.</w:t>
      </w:r>
    </w:p>
    <w:p w14:paraId="74575BBF" w14:textId="30689CFB" w:rsidR="008A1178" w:rsidRPr="00361047" w:rsidRDefault="004954A4" w:rsidP="00806AD2">
      <w:pPr>
        <w:spacing w:after="0" w:line="240" w:lineRule="auto"/>
        <w:ind w:firstLine="360"/>
        <w:jc w:val="both"/>
        <w:rPr>
          <w:rFonts w:ascii="Times New Roman" w:hAnsi="Times New Roman" w:cs="Times New Roman"/>
          <w:lang w:val="it-IT"/>
        </w:rPr>
      </w:pPr>
      <w:r w:rsidRPr="00361047">
        <w:rPr>
          <w:rFonts w:ascii="Times New Roman" w:hAnsi="Times New Roman" w:cs="Times New Roman"/>
          <w:lang w:val="it-IT"/>
        </w:rPr>
        <w:t>L’introduzione di regole e riti speciali per ragioni deflattive non è una novità e</w:t>
      </w:r>
      <w:r w:rsidR="000E7C33" w:rsidRPr="00361047">
        <w:rPr>
          <w:rFonts w:ascii="Times New Roman" w:hAnsi="Times New Roman" w:cs="Times New Roman"/>
          <w:lang w:val="it-IT"/>
        </w:rPr>
        <w:t xml:space="preserve">d il perseguimento di tale obbiettivo </w:t>
      </w:r>
      <w:r w:rsidRPr="00361047">
        <w:rPr>
          <w:rFonts w:ascii="Times New Roman" w:hAnsi="Times New Roman" w:cs="Times New Roman"/>
          <w:lang w:val="it-IT"/>
        </w:rPr>
        <w:t>è ritenut</w:t>
      </w:r>
      <w:r w:rsidR="00322E52" w:rsidRPr="00361047">
        <w:rPr>
          <w:rFonts w:ascii="Times New Roman" w:hAnsi="Times New Roman" w:cs="Times New Roman"/>
          <w:lang w:val="it-IT"/>
        </w:rPr>
        <w:t xml:space="preserve">o </w:t>
      </w:r>
      <w:r w:rsidRPr="00361047">
        <w:rPr>
          <w:rFonts w:ascii="Times New Roman" w:hAnsi="Times New Roman" w:cs="Times New Roman"/>
          <w:lang w:val="it-IT"/>
        </w:rPr>
        <w:t>una finalità giustifica</w:t>
      </w:r>
      <w:r w:rsidR="00322E52" w:rsidRPr="00361047">
        <w:rPr>
          <w:rFonts w:ascii="Times New Roman" w:hAnsi="Times New Roman" w:cs="Times New Roman"/>
          <w:lang w:val="it-IT"/>
        </w:rPr>
        <w:t xml:space="preserve">nte </w:t>
      </w:r>
      <w:r w:rsidRPr="00361047">
        <w:rPr>
          <w:rFonts w:ascii="Times New Roman" w:hAnsi="Times New Roman" w:cs="Times New Roman"/>
          <w:lang w:val="it-IT"/>
        </w:rPr>
        <w:t>regole partic</w:t>
      </w:r>
      <w:r w:rsidR="00322E52" w:rsidRPr="00361047">
        <w:rPr>
          <w:rFonts w:ascii="Times New Roman" w:hAnsi="Times New Roman" w:cs="Times New Roman"/>
          <w:lang w:val="it-IT"/>
        </w:rPr>
        <w:t>olari. Tuttavia, merita sottolineare sia la rilevanza del diritto sotteso alla protezione internazionale, un diritto costituzionalmente tutelato all’art. 10(3) Cost.</w:t>
      </w:r>
      <w:r w:rsidR="003A1020" w:rsidRPr="00361047">
        <w:rPr>
          <w:rFonts w:ascii="Times New Roman" w:hAnsi="Times New Roman" w:cs="Times New Roman"/>
          <w:lang w:val="it-IT"/>
        </w:rPr>
        <w:t>,</w:t>
      </w:r>
      <w:r w:rsidR="00A721FE" w:rsidRPr="00361047">
        <w:rPr>
          <w:rFonts w:ascii="Times New Roman" w:hAnsi="Times New Roman" w:cs="Times New Roman"/>
          <w:lang w:val="it-IT"/>
        </w:rPr>
        <w:t xml:space="preserve"> sia l’assenza di misure di organizzazione della funzione giudiziaria volte ad affrontare in modo adeguato </w:t>
      </w:r>
      <w:r w:rsidR="00E75B2A" w:rsidRPr="00361047">
        <w:rPr>
          <w:rFonts w:ascii="Times New Roman" w:hAnsi="Times New Roman" w:cs="Times New Roman"/>
          <w:lang w:val="it-IT"/>
        </w:rPr>
        <w:t xml:space="preserve">l’elevato numero dei ricorsi giurisdizionali. In particolare, nonostante la creazione </w:t>
      </w:r>
      <w:r w:rsidR="004B5E7D" w:rsidRPr="00361047">
        <w:rPr>
          <w:rFonts w:ascii="Times New Roman" w:hAnsi="Times New Roman" w:cs="Times New Roman"/>
          <w:lang w:val="it-IT"/>
        </w:rPr>
        <w:t xml:space="preserve">nei Tribunali </w:t>
      </w:r>
      <w:r w:rsidR="00E75B2A" w:rsidRPr="00361047">
        <w:rPr>
          <w:rFonts w:ascii="Times New Roman" w:hAnsi="Times New Roman" w:cs="Times New Roman"/>
          <w:lang w:val="it-IT"/>
        </w:rPr>
        <w:t xml:space="preserve">di sezioni specializzate in materia </w:t>
      </w:r>
      <w:r w:rsidR="004B5E7D" w:rsidRPr="00361047">
        <w:rPr>
          <w:rFonts w:ascii="Times New Roman" w:hAnsi="Times New Roman" w:cs="Times New Roman"/>
          <w:lang w:val="it-IT"/>
        </w:rPr>
        <w:t xml:space="preserve">di immigrazione, protezione internazionale e libera circolazione dei cittadini dell’Unione europea, </w:t>
      </w:r>
      <w:r w:rsidR="00B5447A" w:rsidRPr="00361047">
        <w:rPr>
          <w:rFonts w:ascii="Times New Roman" w:hAnsi="Times New Roman" w:cs="Times New Roman"/>
          <w:lang w:val="it-IT"/>
        </w:rPr>
        <w:t>non vi è stato alcun aumento di organico della magistratura per f</w:t>
      </w:r>
      <w:r w:rsidR="00BE76A5" w:rsidRPr="00361047">
        <w:rPr>
          <w:rFonts w:ascii="Times New Roman" w:hAnsi="Times New Roman" w:cs="Times New Roman"/>
          <w:lang w:val="it-IT"/>
        </w:rPr>
        <w:t>ar</w:t>
      </w:r>
      <w:r w:rsidR="00B5447A" w:rsidRPr="00361047">
        <w:rPr>
          <w:rFonts w:ascii="Times New Roman" w:hAnsi="Times New Roman" w:cs="Times New Roman"/>
          <w:lang w:val="it-IT"/>
        </w:rPr>
        <w:t xml:space="preserve"> fronte a tale elevato numero di ricorsi, né i magistrati che si occupano della materia sono</w:t>
      </w:r>
      <w:r w:rsidR="00925C21" w:rsidRPr="00361047">
        <w:rPr>
          <w:rFonts w:ascii="Times New Roman" w:hAnsi="Times New Roman" w:cs="Times New Roman"/>
          <w:lang w:val="it-IT"/>
        </w:rPr>
        <w:t xml:space="preserve"> tutti</w:t>
      </w:r>
      <w:r w:rsidR="00B5447A" w:rsidRPr="00361047">
        <w:rPr>
          <w:rFonts w:ascii="Times New Roman" w:hAnsi="Times New Roman" w:cs="Times New Roman"/>
          <w:lang w:val="it-IT"/>
        </w:rPr>
        <w:t xml:space="preserve"> </w:t>
      </w:r>
      <w:r w:rsidR="000121CC" w:rsidRPr="00361047">
        <w:rPr>
          <w:rFonts w:ascii="Times New Roman" w:hAnsi="Times New Roman" w:cs="Times New Roman"/>
          <w:lang w:val="it-IT"/>
        </w:rPr>
        <w:t>dedicati a</w:t>
      </w:r>
      <w:r w:rsidR="008A5A8D" w:rsidRPr="00361047">
        <w:rPr>
          <w:rFonts w:ascii="Times New Roman" w:hAnsi="Times New Roman" w:cs="Times New Roman"/>
          <w:lang w:val="it-IT"/>
        </w:rPr>
        <w:t>d essa a tempo pieno.</w:t>
      </w:r>
    </w:p>
    <w:p w14:paraId="7391CFC1" w14:textId="5843AC24" w:rsidR="000227C9" w:rsidRPr="00361047" w:rsidRDefault="00FC59E7" w:rsidP="00806AD2">
      <w:pPr>
        <w:spacing w:after="0" w:line="240" w:lineRule="auto"/>
        <w:ind w:firstLine="360"/>
        <w:jc w:val="both"/>
        <w:rPr>
          <w:rFonts w:ascii="Times New Roman" w:hAnsi="Times New Roman" w:cs="Times New Roman"/>
          <w:lang w:val="it-IT"/>
        </w:rPr>
      </w:pPr>
      <w:r w:rsidRPr="00361047">
        <w:rPr>
          <w:rFonts w:ascii="Times New Roman" w:hAnsi="Times New Roman" w:cs="Times New Roman"/>
          <w:lang w:val="it-IT"/>
        </w:rPr>
        <w:t xml:space="preserve">La modifica </w:t>
      </w:r>
      <w:r w:rsidR="00734EB8" w:rsidRPr="00361047">
        <w:rPr>
          <w:rFonts w:ascii="Times New Roman" w:hAnsi="Times New Roman" w:cs="Times New Roman"/>
          <w:lang w:val="it-IT"/>
        </w:rPr>
        <w:t xml:space="preserve">radicale </w:t>
      </w:r>
      <w:r w:rsidRPr="00361047">
        <w:rPr>
          <w:rFonts w:ascii="Times New Roman" w:hAnsi="Times New Roman" w:cs="Times New Roman"/>
          <w:lang w:val="it-IT"/>
        </w:rPr>
        <w:t>delle regole processuali</w:t>
      </w:r>
      <w:r w:rsidR="004B5E7D" w:rsidRPr="00361047">
        <w:rPr>
          <w:rFonts w:ascii="Times New Roman" w:hAnsi="Times New Roman" w:cs="Times New Roman"/>
          <w:lang w:val="it-IT"/>
        </w:rPr>
        <w:t>, attraverso soprattutto l’eliminazione dell’appello,</w:t>
      </w:r>
      <w:r w:rsidRPr="00361047">
        <w:rPr>
          <w:rFonts w:ascii="Times New Roman" w:hAnsi="Times New Roman" w:cs="Times New Roman"/>
          <w:lang w:val="it-IT"/>
        </w:rPr>
        <w:t xml:space="preserve"> è stata dunque l’unica significativa misura tesa a ridurre i tempi e l’arretrato in materia di protezione. </w:t>
      </w:r>
      <w:r w:rsidR="00734EB8" w:rsidRPr="00361047">
        <w:rPr>
          <w:rFonts w:ascii="Times New Roman" w:hAnsi="Times New Roman" w:cs="Times New Roman"/>
          <w:lang w:val="it-IT"/>
        </w:rPr>
        <w:t xml:space="preserve">Essa è stata possibile anche in virtù degli scarni vincoli esistenti a livello </w:t>
      </w:r>
      <w:r w:rsidR="0046326A" w:rsidRPr="00361047">
        <w:rPr>
          <w:rFonts w:ascii="Times New Roman" w:hAnsi="Times New Roman" w:cs="Times New Roman"/>
          <w:lang w:val="it-IT"/>
        </w:rPr>
        <w:t xml:space="preserve">di diritto dell’Unione </w:t>
      </w:r>
      <w:r w:rsidR="00734EB8" w:rsidRPr="00361047">
        <w:rPr>
          <w:rFonts w:ascii="Times New Roman" w:hAnsi="Times New Roman" w:cs="Times New Roman"/>
          <w:lang w:val="it-IT"/>
        </w:rPr>
        <w:t>europe</w:t>
      </w:r>
      <w:r w:rsidR="00C3547D" w:rsidRPr="00361047">
        <w:rPr>
          <w:rFonts w:ascii="Times New Roman" w:hAnsi="Times New Roman" w:cs="Times New Roman"/>
          <w:lang w:val="it-IT"/>
        </w:rPr>
        <w:t xml:space="preserve">a </w:t>
      </w:r>
      <w:r w:rsidR="00424D89" w:rsidRPr="00361047">
        <w:rPr>
          <w:rFonts w:ascii="Times New Roman" w:hAnsi="Times New Roman" w:cs="Times New Roman"/>
          <w:lang w:val="it-IT"/>
        </w:rPr>
        <w:t>che non disciplina se non in modo settoriale le regole applicabili ai rimedi giurisdizionali interni</w:t>
      </w:r>
      <w:r w:rsidR="00F870B2" w:rsidRPr="00361047">
        <w:rPr>
          <w:rFonts w:ascii="Times New Roman" w:hAnsi="Times New Roman" w:cs="Times New Roman"/>
          <w:lang w:val="it-IT"/>
        </w:rPr>
        <w:t xml:space="preserve">. </w:t>
      </w:r>
      <w:r w:rsidR="000227C9" w:rsidRPr="00361047">
        <w:rPr>
          <w:rFonts w:ascii="Times New Roman" w:hAnsi="Times New Roman" w:cs="Times New Roman"/>
          <w:lang w:val="it-IT"/>
        </w:rPr>
        <w:t xml:space="preserve">Così, nel settore che qui interessa, la direttiva 2013/32 sulle procedure di riconoscimento e revoca della protezione internazionale richiede agli Stati membri sia di riconoscere ai richiedenti il diritto all’assistenza legale «in ciascuna fase della procedura, anche in caso di decisione negativa» (art. 22), sia di autorizzarli (salvo alcune </w:t>
      </w:r>
      <w:r w:rsidR="004B5E7D" w:rsidRPr="00361047">
        <w:rPr>
          <w:rFonts w:ascii="Times New Roman" w:hAnsi="Times New Roman" w:cs="Times New Roman"/>
          <w:lang w:val="it-IT"/>
        </w:rPr>
        <w:t xml:space="preserve">eccezioni elencate dal par. 6) </w:t>
      </w:r>
      <w:r w:rsidR="000227C9" w:rsidRPr="00361047">
        <w:rPr>
          <w:rFonts w:ascii="Times New Roman" w:hAnsi="Times New Roman" w:cs="Times New Roman"/>
          <w:lang w:val="it-IT"/>
        </w:rPr>
        <w:t xml:space="preserve">«a rimanere nel loro territorio fino alla scadenza del termine entro il quale possono esercitare il loro diritto a un ricorso effettivo oppure, se tale diritto è stato esercitato entro il termine previsto, in attesa dell’esito del ricorso» (art. 46) sia, ancora, impone che i mezzi previsti negli ordinamenti nazionali abbiano alcune caratteristiche, in particolare assicurino l’esame «completo ed ex nunc degli elementi di fatto e di diritto </w:t>
      </w:r>
      <w:r w:rsidR="002D571F" w:rsidRPr="00361047">
        <w:rPr>
          <w:rFonts w:ascii="Times New Roman" w:hAnsi="Times New Roman" w:cs="Times New Roman"/>
          <w:lang w:val="it-IT"/>
        </w:rPr>
        <w:t>[</w:t>
      </w:r>
      <w:r w:rsidR="000227C9" w:rsidRPr="00361047">
        <w:rPr>
          <w:rFonts w:ascii="Times New Roman" w:hAnsi="Times New Roman" w:cs="Times New Roman"/>
          <w:lang w:val="it-IT"/>
        </w:rPr>
        <w:t>…</w:t>
      </w:r>
      <w:r w:rsidR="002D571F" w:rsidRPr="00361047">
        <w:rPr>
          <w:rFonts w:ascii="Times New Roman" w:hAnsi="Times New Roman" w:cs="Times New Roman"/>
          <w:lang w:val="it-IT"/>
        </w:rPr>
        <w:t>]</w:t>
      </w:r>
      <w:r w:rsidR="000227C9" w:rsidRPr="00361047">
        <w:rPr>
          <w:rFonts w:ascii="Times New Roman" w:hAnsi="Times New Roman" w:cs="Times New Roman"/>
          <w:lang w:val="it-IT"/>
        </w:rPr>
        <w:t xml:space="preserve"> quanto meno nei procedimenti di impugnazione dinanzi al giudice di primo grado».</w:t>
      </w:r>
      <w:r w:rsidR="00AC6A86" w:rsidRPr="00361047">
        <w:rPr>
          <w:rFonts w:ascii="Times New Roman" w:hAnsi="Times New Roman" w:cs="Times New Roman"/>
          <w:lang w:val="it-IT"/>
        </w:rPr>
        <w:t xml:space="preserve"> </w:t>
      </w:r>
    </w:p>
    <w:p w14:paraId="5FF5F6E9" w14:textId="35C71C26" w:rsidR="00B9792C" w:rsidRPr="00361047" w:rsidRDefault="00B750F2" w:rsidP="00806AD2">
      <w:pPr>
        <w:spacing w:after="0" w:line="240" w:lineRule="auto"/>
        <w:ind w:firstLine="360"/>
        <w:jc w:val="both"/>
        <w:rPr>
          <w:rFonts w:ascii="Times New Roman" w:hAnsi="Times New Roman" w:cs="Times New Roman"/>
          <w:lang w:val="it-IT"/>
        </w:rPr>
      </w:pPr>
      <w:r w:rsidRPr="00361047">
        <w:rPr>
          <w:rFonts w:ascii="Times New Roman" w:hAnsi="Times New Roman" w:cs="Times New Roman"/>
          <w:lang w:val="it-IT"/>
        </w:rPr>
        <w:t xml:space="preserve">Se, dunque, la </w:t>
      </w:r>
      <w:r w:rsidR="00B9792C" w:rsidRPr="00361047">
        <w:rPr>
          <w:rFonts w:ascii="Times New Roman" w:hAnsi="Times New Roman" w:cs="Times New Roman"/>
          <w:lang w:val="it-IT"/>
        </w:rPr>
        <w:t>direttiva 2013/32 recante procedure per l’esame delle domande di protezione internazionale, impon</w:t>
      </w:r>
      <w:r w:rsidRPr="00361047">
        <w:rPr>
          <w:rFonts w:ascii="Times New Roman" w:hAnsi="Times New Roman" w:cs="Times New Roman"/>
          <w:lang w:val="it-IT"/>
        </w:rPr>
        <w:t xml:space="preserve">e </w:t>
      </w:r>
      <w:r w:rsidR="00B9792C" w:rsidRPr="00361047">
        <w:rPr>
          <w:rFonts w:ascii="Times New Roman" w:hAnsi="Times New Roman" w:cs="Times New Roman"/>
          <w:lang w:val="it-IT"/>
        </w:rPr>
        <w:t>agli Stati membri di prevedere un diritto a un ricorso effettivo contro le decisioni di rigetto di una domanda di protezione internazionale</w:t>
      </w:r>
      <w:r w:rsidR="00080ED0" w:rsidRPr="00361047">
        <w:rPr>
          <w:rFonts w:ascii="Times New Roman" w:hAnsi="Times New Roman" w:cs="Times New Roman"/>
          <w:lang w:val="it-IT"/>
        </w:rPr>
        <w:t xml:space="preserve">, non è previsto alcun diritto </w:t>
      </w:r>
      <w:r w:rsidR="00B9792C" w:rsidRPr="00361047">
        <w:rPr>
          <w:rFonts w:ascii="Times New Roman" w:hAnsi="Times New Roman" w:cs="Times New Roman"/>
          <w:lang w:val="it-IT"/>
        </w:rPr>
        <w:t xml:space="preserve">di proporre appello </w:t>
      </w:r>
      <w:r w:rsidR="00B9792C" w:rsidRPr="00361047">
        <w:rPr>
          <w:rFonts w:ascii="Times New Roman" w:hAnsi="Times New Roman" w:cs="Times New Roman"/>
          <w:lang w:val="it-IT"/>
        </w:rPr>
        <w:lastRenderedPageBreak/>
        <w:t xml:space="preserve">né, a maggior ragione, che l’esercizio di un diritto siffatto si accompagni a un effetto sospensivo automatico. </w:t>
      </w:r>
    </w:p>
    <w:p w14:paraId="1CEED58F" w14:textId="3A7B2D83" w:rsidR="003574EF" w:rsidRPr="00361047" w:rsidRDefault="00AC6A86" w:rsidP="00806AD2">
      <w:pPr>
        <w:spacing w:after="0" w:line="240" w:lineRule="auto"/>
        <w:ind w:firstLine="360"/>
        <w:jc w:val="both"/>
        <w:rPr>
          <w:rFonts w:ascii="Times New Roman" w:hAnsi="Times New Roman" w:cs="Times New Roman"/>
          <w:lang w:val="it-IT"/>
        </w:rPr>
      </w:pPr>
      <w:r w:rsidRPr="00361047">
        <w:rPr>
          <w:rFonts w:ascii="Times New Roman" w:hAnsi="Times New Roman" w:cs="Times New Roman"/>
          <w:lang w:val="it-IT"/>
        </w:rPr>
        <w:t>Così, oltre ad aver potuto abrogare il grado d</w:t>
      </w:r>
      <w:r w:rsidR="00C53B58" w:rsidRPr="00361047">
        <w:rPr>
          <w:rFonts w:ascii="Times New Roman" w:hAnsi="Times New Roman" w:cs="Times New Roman"/>
          <w:lang w:val="it-IT"/>
        </w:rPr>
        <w:t xml:space="preserve">i appello, la modifica legislativa è intervenuta anche </w:t>
      </w:r>
      <w:r w:rsidR="00F250F8" w:rsidRPr="00361047">
        <w:rPr>
          <w:rFonts w:ascii="Times New Roman" w:hAnsi="Times New Roman" w:cs="Times New Roman"/>
          <w:lang w:val="it-IT"/>
        </w:rPr>
        <w:t xml:space="preserve">sugli </w:t>
      </w:r>
      <w:r w:rsidR="00070F0E" w:rsidRPr="00361047">
        <w:rPr>
          <w:rFonts w:ascii="Times New Roman" w:hAnsi="Times New Roman" w:cs="Times New Roman"/>
          <w:lang w:val="it-IT"/>
        </w:rPr>
        <w:t xml:space="preserve">effetti sospensivi </w:t>
      </w:r>
      <w:r w:rsidR="008545E4" w:rsidRPr="00361047">
        <w:rPr>
          <w:rFonts w:ascii="Times New Roman" w:hAnsi="Times New Roman" w:cs="Times New Roman"/>
          <w:lang w:val="it-IT"/>
        </w:rPr>
        <w:t xml:space="preserve">automatici </w:t>
      </w:r>
      <w:r w:rsidR="00070F0E" w:rsidRPr="00361047">
        <w:rPr>
          <w:rFonts w:ascii="Times New Roman" w:hAnsi="Times New Roman" w:cs="Times New Roman"/>
          <w:lang w:val="it-IT"/>
        </w:rPr>
        <w:t xml:space="preserve">del ricorso </w:t>
      </w:r>
      <w:r w:rsidR="0007308F" w:rsidRPr="00361047">
        <w:rPr>
          <w:rFonts w:ascii="Times New Roman" w:hAnsi="Times New Roman" w:cs="Times New Roman"/>
          <w:lang w:val="it-IT"/>
        </w:rPr>
        <w:t>giurisdizionale</w:t>
      </w:r>
      <w:r w:rsidR="00F250F8" w:rsidRPr="00361047">
        <w:rPr>
          <w:rFonts w:ascii="Times New Roman" w:hAnsi="Times New Roman" w:cs="Times New Roman"/>
          <w:lang w:val="it-IT"/>
        </w:rPr>
        <w:t xml:space="preserve">. </w:t>
      </w:r>
      <w:r w:rsidR="00BC14D5" w:rsidRPr="00361047">
        <w:rPr>
          <w:rFonts w:ascii="Times New Roman" w:hAnsi="Times New Roman" w:cs="Times New Roman"/>
          <w:lang w:val="it-IT"/>
        </w:rPr>
        <w:t xml:space="preserve">Prima della riforma del 2017, </w:t>
      </w:r>
      <w:r w:rsidR="00117542" w:rsidRPr="00361047">
        <w:rPr>
          <w:rFonts w:ascii="Times New Roman" w:hAnsi="Times New Roman" w:cs="Times New Roman"/>
          <w:lang w:val="it-IT"/>
        </w:rPr>
        <w:t>l’effetto sospensivo dei ricorsi si produce</w:t>
      </w:r>
      <w:r w:rsidR="00F70894" w:rsidRPr="00361047">
        <w:rPr>
          <w:rFonts w:ascii="Times New Roman" w:hAnsi="Times New Roman" w:cs="Times New Roman"/>
          <w:lang w:val="it-IT"/>
        </w:rPr>
        <w:t>va</w:t>
      </w:r>
      <w:r w:rsidR="00CA1D9C" w:rsidRPr="00361047">
        <w:rPr>
          <w:rFonts w:ascii="Times New Roman" w:hAnsi="Times New Roman" w:cs="Times New Roman"/>
          <w:lang w:val="it-IT"/>
        </w:rPr>
        <w:t xml:space="preserve"> in modo automatico</w:t>
      </w:r>
      <w:r w:rsidR="00117542" w:rsidRPr="00361047">
        <w:rPr>
          <w:rFonts w:ascii="Times New Roman" w:hAnsi="Times New Roman" w:cs="Times New Roman"/>
          <w:lang w:val="it-IT"/>
        </w:rPr>
        <w:t xml:space="preserve"> </w:t>
      </w:r>
      <w:r w:rsidR="00F70894" w:rsidRPr="00361047">
        <w:rPr>
          <w:rFonts w:ascii="Times New Roman" w:hAnsi="Times New Roman" w:cs="Times New Roman"/>
          <w:lang w:val="it-IT"/>
        </w:rPr>
        <w:t>fino a</w:t>
      </w:r>
      <w:r w:rsidR="003574EF" w:rsidRPr="00361047">
        <w:rPr>
          <w:rFonts w:ascii="Times New Roman" w:hAnsi="Times New Roman" w:cs="Times New Roman"/>
          <w:lang w:val="it-IT"/>
        </w:rPr>
        <w:t>l passaggio in giudicato della sentenza che aveva definito l</w:t>
      </w:r>
      <w:r w:rsidR="005B67E0" w:rsidRPr="00361047">
        <w:rPr>
          <w:rFonts w:ascii="Times New Roman" w:hAnsi="Times New Roman" w:cs="Times New Roman"/>
          <w:lang w:val="it-IT"/>
        </w:rPr>
        <w:t>’</w:t>
      </w:r>
      <w:r w:rsidR="003574EF" w:rsidRPr="00361047">
        <w:rPr>
          <w:rFonts w:ascii="Times New Roman" w:hAnsi="Times New Roman" w:cs="Times New Roman"/>
          <w:lang w:val="it-IT"/>
        </w:rPr>
        <w:t xml:space="preserve">intero </w:t>
      </w:r>
      <w:r w:rsidR="00714C63" w:rsidRPr="00361047">
        <w:rPr>
          <w:rFonts w:ascii="Times New Roman" w:hAnsi="Times New Roman" w:cs="Times New Roman"/>
          <w:lang w:val="it-IT"/>
        </w:rPr>
        <w:t>procedimento giurisdizionale</w:t>
      </w:r>
      <w:r w:rsidR="00C436AC" w:rsidRPr="00361047">
        <w:rPr>
          <w:rFonts w:ascii="Times New Roman" w:hAnsi="Times New Roman" w:cs="Times New Roman"/>
          <w:lang w:val="it-IT"/>
        </w:rPr>
        <w:t xml:space="preserve">, </w:t>
      </w:r>
      <w:r w:rsidR="003574EF" w:rsidRPr="00361047">
        <w:rPr>
          <w:rFonts w:ascii="Times New Roman" w:hAnsi="Times New Roman" w:cs="Times New Roman"/>
          <w:lang w:val="it-IT"/>
        </w:rPr>
        <w:t>articolato in tre gradi di giudizio.</w:t>
      </w:r>
      <w:r w:rsidR="00D665A6" w:rsidRPr="00361047">
        <w:rPr>
          <w:rFonts w:ascii="Times New Roman" w:hAnsi="Times New Roman" w:cs="Times New Roman"/>
          <w:lang w:val="it-IT"/>
        </w:rPr>
        <w:t xml:space="preserve"> </w:t>
      </w:r>
      <w:r w:rsidR="003574EF" w:rsidRPr="00361047">
        <w:rPr>
          <w:rFonts w:ascii="Times New Roman" w:hAnsi="Times New Roman" w:cs="Times New Roman"/>
          <w:lang w:val="it-IT"/>
        </w:rPr>
        <w:t xml:space="preserve">Con </w:t>
      </w:r>
      <w:r w:rsidR="00D665A6" w:rsidRPr="00361047">
        <w:rPr>
          <w:rFonts w:ascii="Times New Roman" w:hAnsi="Times New Roman" w:cs="Times New Roman"/>
          <w:lang w:val="it-IT"/>
        </w:rPr>
        <w:t xml:space="preserve">il </w:t>
      </w:r>
      <w:r w:rsidR="00714C63" w:rsidRPr="00361047">
        <w:rPr>
          <w:rFonts w:ascii="Times New Roman" w:hAnsi="Times New Roman" w:cs="Times New Roman"/>
          <w:lang w:val="it-IT"/>
        </w:rPr>
        <w:t>DL</w:t>
      </w:r>
      <w:r w:rsidR="003574EF" w:rsidRPr="00361047">
        <w:rPr>
          <w:rFonts w:ascii="Times New Roman" w:hAnsi="Times New Roman" w:cs="Times New Roman"/>
          <w:lang w:val="it-IT"/>
        </w:rPr>
        <w:t xml:space="preserve"> </w:t>
      </w:r>
      <w:r w:rsidR="00433834" w:rsidRPr="00361047">
        <w:rPr>
          <w:rFonts w:ascii="Times New Roman" w:hAnsi="Times New Roman" w:cs="Times New Roman"/>
          <w:lang w:val="it-IT"/>
        </w:rPr>
        <w:t>13</w:t>
      </w:r>
      <w:r w:rsidR="004B5E7D" w:rsidRPr="00361047">
        <w:rPr>
          <w:rFonts w:ascii="Times New Roman" w:hAnsi="Times New Roman" w:cs="Times New Roman"/>
          <w:lang w:val="it-IT"/>
        </w:rPr>
        <w:t>/</w:t>
      </w:r>
      <w:r w:rsidR="003574EF" w:rsidRPr="00361047">
        <w:rPr>
          <w:rFonts w:ascii="Times New Roman" w:hAnsi="Times New Roman" w:cs="Times New Roman"/>
          <w:lang w:val="it-IT"/>
        </w:rPr>
        <w:t>2017 il legislatore ha espressamente pre</w:t>
      </w:r>
      <w:r w:rsidR="008660D6" w:rsidRPr="00361047">
        <w:rPr>
          <w:rFonts w:ascii="Times New Roman" w:hAnsi="Times New Roman" w:cs="Times New Roman"/>
          <w:lang w:val="it-IT"/>
        </w:rPr>
        <w:t>v</w:t>
      </w:r>
      <w:r w:rsidR="003574EF" w:rsidRPr="00361047">
        <w:rPr>
          <w:rFonts w:ascii="Times New Roman" w:hAnsi="Times New Roman" w:cs="Times New Roman"/>
          <w:lang w:val="it-IT"/>
        </w:rPr>
        <w:t xml:space="preserve">isto </w:t>
      </w:r>
      <w:r w:rsidR="00C7071C" w:rsidRPr="00361047">
        <w:rPr>
          <w:rFonts w:ascii="Times New Roman" w:hAnsi="Times New Roman" w:cs="Times New Roman"/>
          <w:lang w:val="it-IT"/>
        </w:rPr>
        <w:t xml:space="preserve">che </w:t>
      </w:r>
      <w:r w:rsidR="00433834" w:rsidRPr="00361047">
        <w:rPr>
          <w:rFonts w:ascii="Times New Roman" w:hAnsi="Times New Roman" w:cs="Times New Roman"/>
          <w:lang w:val="it-IT"/>
        </w:rPr>
        <w:t>a</w:t>
      </w:r>
      <w:r w:rsidR="00C7071C" w:rsidRPr="00361047">
        <w:rPr>
          <w:rFonts w:ascii="Times New Roman" w:hAnsi="Times New Roman" w:cs="Times New Roman"/>
          <w:lang w:val="it-IT"/>
        </w:rPr>
        <w:t xml:space="preserve">vverso il decreto di rigetto del Tribunale è proponibile </w:t>
      </w:r>
      <w:r w:rsidR="00433834" w:rsidRPr="00361047">
        <w:rPr>
          <w:rFonts w:ascii="Times New Roman" w:hAnsi="Times New Roman" w:cs="Times New Roman"/>
          <w:lang w:val="it-IT"/>
        </w:rPr>
        <w:t xml:space="preserve">“solo” </w:t>
      </w:r>
      <w:r w:rsidR="00C7071C" w:rsidRPr="00361047">
        <w:rPr>
          <w:rFonts w:ascii="Times New Roman" w:hAnsi="Times New Roman" w:cs="Times New Roman"/>
          <w:lang w:val="it-IT"/>
        </w:rPr>
        <w:t xml:space="preserve">ricorso per Cassazione ed istanza di sospensiva davanti al medesimo giudice che ha pronunciato il decreto impugnato qualora sussistano “fondati motivi” (art. 35 bis del </w:t>
      </w:r>
      <w:proofErr w:type="spellStart"/>
      <w:r w:rsidR="00C7071C" w:rsidRPr="00361047">
        <w:rPr>
          <w:rFonts w:ascii="Times New Roman" w:hAnsi="Times New Roman" w:cs="Times New Roman"/>
          <w:lang w:val="it-IT"/>
        </w:rPr>
        <w:t>D.Lgs.</w:t>
      </w:r>
      <w:proofErr w:type="spellEnd"/>
      <w:r w:rsidR="00C7071C" w:rsidRPr="00361047">
        <w:rPr>
          <w:rFonts w:ascii="Times New Roman" w:hAnsi="Times New Roman" w:cs="Times New Roman"/>
          <w:lang w:val="it-IT"/>
        </w:rPr>
        <w:t xml:space="preserve"> 25/2008, al comma 13, introdotto dal DL 13/2017).</w:t>
      </w:r>
      <w:r w:rsidR="00BD1B57" w:rsidRPr="00361047">
        <w:rPr>
          <w:rFonts w:ascii="Times New Roman" w:hAnsi="Times New Roman" w:cs="Times New Roman"/>
          <w:lang w:val="it-IT"/>
        </w:rPr>
        <w:t xml:space="preserve"> </w:t>
      </w:r>
    </w:p>
    <w:p w14:paraId="0C35F881" w14:textId="1D7F7BF5" w:rsidR="00B32DDF" w:rsidRPr="00361047" w:rsidRDefault="007C22CF"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È proprio in relazione a</w:t>
      </w:r>
      <w:r w:rsidR="00DC0A27" w:rsidRPr="00361047">
        <w:rPr>
          <w:rFonts w:ascii="Times New Roman" w:hAnsi="Times New Roman" w:cs="Times New Roman"/>
          <w:lang w:val="it-IT"/>
        </w:rPr>
        <w:t xml:space="preserve">ll’applicazione di tale nuova </w:t>
      </w:r>
      <w:r w:rsidR="009D1E31" w:rsidRPr="00361047">
        <w:rPr>
          <w:rFonts w:ascii="Times New Roman" w:hAnsi="Times New Roman" w:cs="Times New Roman"/>
          <w:lang w:val="it-IT"/>
        </w:rPr>
        <w:t>disciplina</w:t>
      </w:r>
      <w:r w:rsidR="00DC0A27" w:rsidRPr="00361047">
        <w:rPr>
          <w:rFonts w:ascii="Times New Roman" w:hAnsi="Times New Roman" w:cs="Times New Roman"/>
          <w:lang w:val="it-IT"/>
        </w:rPr>
        <w:t xml:space="preserve">, </w:t>
      </w:r>
      <w:r w:rsidRPr="00361047">
        <w:rPr>
          <w:rFonts w:ascii="Times New Roman" w:hAnsi="Times New Roman" w:cs="Times New Roman"/>
          <w:lang w:val="it-IT"/>
        </w:rPr>
        <w:t xml:space="preserve">che </w:t>
      </w:r>
      <w:r w:rsidR="00DC0A27" w:rsidRPr="00361047">
        <w:rPr>
          <w:rFonts w:ascii="Times New Roman" w:hAnsi="Times New Roman" w:cs="Times New Roman"/>
          <w:lang w:val="it-IT"/>
        </w:rPr>
        <w:t>il Tribun</w:t>
      </w:r>
      <w:r w:rsidR="009C5C39" w:rsidRPr="00361047">
        <w:rPr>
          <w:rFonts w:ascii="Times New Roman" w:hAnsi="Times New Roman" w:cs="Times New Roman"/>
          <w:lang w:val="it-IT"/>
        </w:rPr>
        <w:t>ale di Milano</w:t>
      </w:r>
      <w:r w:rsidR="00DC0A27" w:rsidRPr="00361047">
        <w:rPr>
          <w:rFonts w:ascii="Times New Roman" w:hAnsi="Times New Roman" w:cs="Times New Roman"/>
          <w:lang w:val="it-IT"/>
        </w:rPr>
        <w:t xml:space="preserve"> ha</w:t>
      </w:r>
      <w:r w:rsidR="00F90873" w:rsidRPr="00361047">
        <w:rPr>
          <w:rFonts w:ascii="Times New Roman" w:hAnsi="Times New Roman" w:cs="Times New Roman"/>
          <w:lang w:val="it-IT"/>
        </w:rPr>
        <w:t xml:space="preserve"> </w:t>
      </w:r>
      <w:r w:rsidR="00DC0A27" w:rsidRPr="00361047">
        <w:rPr>
          <w:rFonts w:ascii="Times New Roman" w:hAnsi="Times New Roman" w:cs="Times New Roman"/>
          <w:lang w:val="it-IT"/>
        </w:rPr>
        <w:t>s</w:t>
      </w:r>
      <w:r w:rsidR="00F90873" w:rsidRPr="00361047">
        <w:rPr>
          <w:rFonts w:ascii="Times New Roman" w:hAnsi="Times New Roman" w:cs="Times New Roman"/>
          <w:lang w:val="it-IT"/>
        </w:rPr>
        <w:t>olleva</w:t>
      </w:r>
      <w:r w:rsidR="00DC0A27" w:rsidRPr="00361047">
        <w:rPr>
          <w:rFonts w:ascii="Times New Roman" w:hAnsi="Times New Roman" w:cs="Times New Roman"/>
          <w:lang w:val="it-IT"/>
        </w:rPr>
        <w:t>to</w:t>
      </w:r>
      <w:r w:rsidR="009D1E31" w:rsidRPr="00361047">
        <w:rPr>
          <w:rFonts w:ascii="Times New Roman" w:hAnsi="Times New Roman" w:cs="Times New Roman"/>
          <w:lang w:val="it-IT"/>
        </w:rPr>
        <w:t xml:space="preserve"> </w:t>
      </w:r>
      <w:r w:rsidR="00F90873" w:rsidRPr="00361047">
        <w:rPr>
          <w:rFonts w:ascii="Times New Roman" w:hAnsi="Times New Roman" w:cs="Times New Roman"/>
          <w:lang w:val="it-IT"/>
        </w:rPr>
        <w:t>un ricorso pregiudiziale di interpretaz</w:t>
      </w:r>
      <w:r w:rsidR="00653D03" w:rsidRPr="00361047">
        <w:rPr>
          <w:rFonts w:ascii="Times New Roman" w:hAnsi="Times New Roman" w:cs="Times New Roman"/>
          <w:lang w:val="it-IT"/>
        </w:rPr>
        <w:t>io</w:t>
      </w:r>
      <w:r w:rsidR="00F90873" w:rsidRPr="00361047">
        <w:rPr>
          <w:rFonts w:ascii="Times New Roman" w:hAnsi="Times New Roman" w:cs="Times New Roman"/>
          <w:lang w:val="it-IT"/>
        </w:rPr>
        <w:t>ne di fronte alla Corte di giustiz</w:t>
      </w:r>
      <w:r w:rsidR="009418C6" w:rsidRPr="00361047">
        <w:rPr>
          <w:rFonts w:ascii="Times New Roman" w:hAnsi="Times New Roman" w:cs="Times New Roman"/>
          <w:lang w:val="it-IT"/>
        </w:rPr>
        <w:t>ia. Poiché la direttiva 2013/32 dispone s</w:t>
      </w:r>
      <w:r w:rsidR="00275BD7" w:rsidRPr="00361047">
        <w:rPr>
          <w:rFonts w:ascii="Times New Roman" w:hAnsi="Times New Roman" w:cs="Times New Roman"/>
          <w:lang w:val="it-IT"/>
        </w:rPr>
        <w:t xml:space="preserve">carni obblighi in materia processuale e per di più limitati ai giudizi </w:t>
      </w:r>
      <w:r w:rsidR="009418C6" w:rsidRPr="00361047">
        <w:rPr>
          <w:rFonts w:ascii="Times New Roman" w:hAnsi="Times New Roman" w:cs="Times New Roman"/>
          <w:lang w:val="it-IT"/>
        </w:rPr>
        <w:t xml:space="preserve">di primo grado, i </w:t>
      </w:r>
      <w:r w:rsidR="00694025" w:rsidRPr="00361047">
        <w:rPr>
          <w:rFonts w:ascii="Times New Roman" w:hAnsi="Times New Roman" w:cs="Times New Roman"/>
          <w:lang w:val="it-IT"/>
        </w:rPr>
        <w:t xml:space="preserve">dubbi del </w:t>
      </w:r>
      <w:r w:rsidR="00BE7A7E" w:rsidRPr="00361047">
        <w:rPr>
          <w:rFonts w:ascii="Times New Roman" w:hAnsi="Times New Roman" w:cs="Times New Roman"/>
          <w:lang w:val="it-IT"/>
        </w:rPr>
        <w:t>Tribunale</w:t>
      </w:r>
      <w:r w:rsidR="00694025" w:rsidRPr="00361047">
        <w:rPr>
          <w:rFonts w:ascii="Times New Roman" w:hAnsi="Times New Roman" w:cs="Times New Roman"/>
          <w:lang w:val="it-IT"/>
        </w:rPr>
        <w:t xml:space="preserve"> riguardavano </w:t>
      </w:r>
      <w:r w:rsidR="009418C6" w:rsidRPr="00361047">
        <w:rPr>
          <w:rFonts w:ascii="Times New Roman" w:hAnsi="Times New Roman" w:cs="Times New Roman"/>
          <w:lang w:val="it-IT"/>
        </w:rPr>
        <w:t>soprattutto l’interpretazione del diritto fondamentale ad un ricor</w:t>
      </w:r>
      <w:r w:rsidR="00D21855" w:rsidRPr="00361047">
        <w:rPr>
          <w:rFonts w:ascii="Times New Roman" w:hAnsi="Times New Roman" w:cs="Times New Roman"/>
          <w:lang w:val="it-IT"/>
        </w:rPr>
        <w:t xml:space="preserve">so effettivo che </w:t>
      </w:r>
      <w:r w:rsidR="00FE13E8" w:rsidRPr="00361047">
        <w:rPr>
          <w:rFonts w:ascii="Times New Roman" w:hAnsi="Times New Roman" w:cs="Times New Roman"/>
          <w:lang w:val="it-IT"/>
        </w:rPr>
        <w:t xml:space="preserve">trova oggi la sua codificazione nel sistema </w:t>
      </w:r>
      <w:r w:rsidR="00DA3526" w:rsidRPr="00361047">
        <w:rPr>
          <w:rFonts w:ascii="Times New Roman" w:hAnsi="Times New Roman" w:cs="Times New Roman"/>
          <w:lang w:val="it-IT"/>
        </w:rPr>
        <w:t>delle fonti d</w:t>
      </w:r>
      <w:r w:rsidR="00FE13E8" w:rsidRPr="00361047">
        <w:rPr>
          <w:rFonts w:ascii="Times New Roman" w:hAnsi="Times New Roman" w:cs="Times New Roman"/>
          <w:lang w:val="it-IT"/>
        </w:rPr>
        <w:t xml:space="preserve">ell’Unione nell’art. 47 della Carta dei diritti fondamentali. Ad avviso del Tribunale di Milano, infatti, </w:t>
      </w:r>
      <w:r w:rsidR="002C244E" w:rsidRPr="00361047">
        <w:rPr>
          <w:rFonts w:ascii="Times New Roman" w:hAnsi="Times New Roman" w:cs="Times New Roman"/>
          <w:lang w:val="it-IT"/>
        </w:rPr>
        <w:t xml:space="preserve">la mancanza di effetto sospensivo automatico </w:t>
      </w:r>
      <w:r w:rsidR="00016615" w:rsidRPr="00361047">
        <w:rPr>
          <w:rFonts w:ascii="Times New Roman" w:hAnsi="Times New Roman" w:cs="Times New Roman"/>
          <w:lang w:val="it-IT"/>
        </w:rPr>
        <w:t xml:space="preserve">del ricorso </w:t>
      </w:r>
      <w:r w:rsidR="001356F9" w:rsidRPr="00361047">
        <w:rPr>
          <w:rFonts w:ascii="Times New Roman" w:hAnsi="Times New Roman" w:cs="Times New Roman"/>
          <w:lang w:val="it-IT"/>
        </w:rPr>
        <w:t xml:space="preserve">in Cassazione </w:t>
      </w:r>
      <w:r w:rsidR="00016615" w:rsidRPr="00361047">
        <w:rPr>
          <w:rFonts w:ascii="Times New Roman" w:hAnsi="Times New Roman" w:cs="Times New Roman"/>
          <w:lang w:val="it-IT"/>
        </w:rPr>
        <w:t xml:space="preserve">rende irregolare il soggiorno del richiedente protezione internazionale </w:t>
      </w:r>
      <w:r w:rsidR="008156B8" w:rsidRPr="00361047">
        <w:rPr>
          <w:rFonts w:ascii="Times New Roman" w:hAnsi="Times New Roman" w:cs="Times New Roman"/>
          <w:lang w:val="it-IT"/>
        </w:rPr>
        <w:t xml:space="preserve">che </w:t>
      </w:r>
      <w:r w:rsidR="003A5E53" w:rsidRPr="00361047">
        <w:rPr>
          <w:rFonts w:ascii="Times New Roman" w:hAnsi="Times New Roman" w:cs="Times New Roman"/>
          <w:lang w:val="it-IT"/>
        </w:rPr>
        <w:t xml:space="preserve">dovrebbe essere </w:t>
      </w:r>
      <w:r w:rsidR="006C5DB7" w:rsidRPr="00361047">
        <w:rPr>
          <w:rFonts w:ascii="Times New Roman" w:hAnsi="Times New Roman" w:cs="Times New Roman"/>
          <w:lang w:val="it-IT"/>
        </w:rPr>
        <w:t>rimpatri</w:t>
      </w:r>
      <w:r w:rsidR="008156B8" w:rsidRPr="00361047">
        <w:rPr>
          <w:rFonts w:ascii="Times New Roman" w:hAnsi="Times New Roman" w:cs="Times New Roman"/>
          <w:lang w:val="it-IT"/>
        </w:rPr>
        <w:t>ato</w:t>
      </w:r>
      <w:r w:rsidR="002D571F" w:rsidRPr="00361047">
        <w:rPr>
          <w:rFonts w:ascii="Times New Roman" w:hAnsi="Times New Roman" w:cs="Times New Roman"/>
          <w:lang w:val="it-IT"/>
        </w:rPr>
        <w:t xml:space="preserve"> immediatamente</w:t>
      </w:r>
      <w:r w:rsidR="008156B8" w:rsidRPr="00361047">
        <w:rPr>
          <w:rFonts w:ascii="Times New Roman" w:hAnsi="Times New Roman" w:cs="Times New Roman"/>
          <w:lang w:val="it-IT"/>
        </w:rPr>
        <w:t xml:space="preserve"> </w:t>
      </w:r>
      <w:r w:rsidR="003A5E53" w:rsidRPr="00361047">
        <w:rPr>
          <w:rFonts w:ascii="Times New Roman" w:hAnsi="Times New Roman" w:cs="Times New Roman"/>
          <w:lang w:val="it-IT"/>
        </w:rPr>
        <w:t>nel Paese di origine, rendendo con ciò praticamente difficile</w:t>
      </w:r>
      <w:r w:rsidR="004B30B1" w:rsidRPr="00361047">
        <w:rPr>
          <w:rFonts w:ascii="Times New Roman" w:hAnsi="Times New Roman" w:cs="Times New Roman"/>
          <w:lang w:val="it-IT"/>
        </w:rPr>
        <w:t>,</w:t>
      </w:r>
      <w:r w:rsidR="003A5E53" w:rsidRPr="00361047">
        <w:rPr>
          <w:rFonts w:ascii="Times New Roman" w:hAnsi="Times New Roman" w:cs="Times New Roman"/>
          <w:lang w:val="it-IT"/>
        </w:rPr>
        <w:t xml:space="preserve"> se non impossibile</w:t>
      </w:r>
      <w:r w:rsidR="004B30B1" w:rsidRPr="00361047">
        <w:rPr>
          <w:rFonts w:ascii="Times New Roman" w:hAnsi="Times New Roman" w:cs="Times New Roman"/>
          <w:lang w:val="it-IT"/>
        </w:rPr>
        <w:t>,</w:t>
      </w:r>
      <w:r w:rsidR="003A5E53" w:rsidRPr="00361047">
        <w:rPr>
          <w:rFonts w:ascii="Times New Roman" w:hAnsi="Times New Roman" w:cs="Times New Roman"/>
          <w:lang w:val="it-IT"/>
        </w:rPr>
        <w:t xml:space="preserve"> la difesa effettiva in giudizio</w:t>
      </w:r>
      <w:r w:rsidR="00534ACF" w:rsidRPr="00361047">
        <w:rPr>
          <w:rFonts w:ascii="Times New Roman" w:hAnsi="Times New Roman" w:cs="Times New Roman"/>
          <w:lang w:val="it-IT"/>
        </w:rPr>
        <w:t xml:space="preserve"> ed il rientro in Italia in caso di accoglimento del ricorso.</w:t>
      </w:r>
    </w:p>
    <w:p w14:paraId="0738C16A" w14:textId="76B8FEE5" w:rsidR="00133EAC" w:rsidRPr="00361047" w:rsidRDefault="005E2C97"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 xml:space="preserve">Con un’ordinanza articolata e ricca di riferimenti sia al diritto nazionale sia al diritto dell’Unione, il Tribunale di Milano argomenta ampiamente circa altri profili di violazione dell’art. 47 della Carta: </w:t>
      </w:r>
      <w:r w:rsidR="00FB5705" w:rsidRPr="00361047">
        <w:rPr>
          <w:rFonts w:ascii="Times New Roman" w:hAnsi="Times New Roman" w:cs="Times New Roman"/>
          <w:lang w:val="it-IT"/>
        </w:rPr>
        <w:t xml:space="preserve">la violazione del diritto di </w:t>
      </w:r>
      <w:r w:rsidR="00133EAC" w:rsidRPr="00361047">
        <w:rPr>
          <w:rFonts w:ascii="Times New Roman" w:hAnsi="Times New Roman" w:cs="Times New Roman"/>
          <w:lang w:val="it-IT"/>
        </w:rPr>
        <w:t>accesso ad un giudice terzo e imparziale</w:t>
      </w:r>
      <w:r w:rsidR="00FB5705" w:rsidRPr="00361047">
        <w:rPr>
          <w:rFonts w:ascii="Times New Roman" w:hAnsi="Times New Roman" w:cs="Times New Roman"/>
          <w:lang w:val="it-IT"/>
        </w:rPr>
        <w:t xml:space="preserve"> e del principio di equivalenza</w:t>
      </w:r>
      <w:r w:rsidR="00133EAC" w:rsidRPr="00361047">
        <w:rPr>
          <w:rFonts w:ascii="Times New Roman" w:hAnsi="Times New Roman" w:cs="Times New Roman"/>
          <w:lang w:val="it-IT"/>
        </w:rPr>
        <w:t>.</w:t>
      </w:r>
      <w:r w:rsidR="00CF48FC" w:rsidRPr="00361047">
        <w:rPr>
          <w:rFonts w:ascii="Times New Roman" w:hAnsi="Times New Roman" w:cs="Times New Roman"/>
          <w:lang w:val="it-IT"/>
        </w:rPr>
        <w:t xml:space="preserve"> </w:t>
      </w:r>
      <w:r w:rsidR="003627ED" w:rsidRPr="00361047">
        <w:rPr>
          <w:rFonts w:ascii="Times New Roman" w:hAnsi="Times New Roman" w:cs="Times New Roman"/>
          <w:lang w:val="it-IT"/>
        </w:rPr>
        <w:t>Quanto al primo, i</w:t>
      </w:r>
      <w:r w:rsidR="00DC4FFF" w:rsidRPr="00361047">
        <w:rPr>
          <w:rFonts w:ascii="Times New Roman" w:hAnsi="Times New Roman" w:cs="Times New Roman"/>
          <w:lang w:val="it-IT"/>
        </w:rPr>
        <w:t xml:space="preserve">l </w:t>
      </w:r>
      <w:r w:rsidR="004B5E7D" w:rsidRPr="00361047">
        <w:rPr>
          <w:rFonts w:ascii="Times New Roman" w:hAnsi="Times New Roman" w:cs="Times New Roman"/>
          <w:lang w:val="it-IT"/>
        </w:rPr>
        <w:t xml:space="preserve">Tribunale di Milano aveva ampiamente spiegato come il </w:t>
      </w:r>
      <w:r w:rsidR="00DC4FFF" w:rsidRPr="00361047">
        <w:rPr>
          <w:rFonts w:ascii="Times New Roman" w:hAnsi="Times New Roman" w:cs="Times New Roman"/>
          <w:lang w:val="it-IT"/>
        </w:rPr>
        <w:t>giudice chiamato a decid</w:t>
      </w:r>
      <w:r w:rsidR="003627ED" w:rsidRPr="00361047">
        <w:rPr>
          <w:rFonts w:ascii="Times New Roman" w:hAnsi="Times New Roman" w:cs="Times New Roman"/>
          <w:lang w:val="it-IT"/>
        </w:rPr>
        <w:t xml:space="preserve">ere sull’istanza di sospensiva </w:t>
      </w:r>
      <w:r w:rsidR="00DC4FFF" w:rsidRPr="00361047">
        <w:rPr>
          <w:rFonts w:ascii="Times New Roman" w:hAnsi="Times New Roman" w:cs="Times New Roman"/>
          <w:lang w:val="it-IT"/>
        </w:rPr>
        <w:t>è il medesimo che ha rigett</w:t>
      </w:r>
      <w:r w:rsidR="00534ACF" w:rsidRPr="00361047">
        <w:rPr>
          <w:rFonts w:ascii="Times New Roman" w:hAnsi="Times New Roman" w:cs="Times New Roman"/>
          <w:lang w:val="it-IT"/>
        </w:rPr>
        <w:t>at</w:t>
      </w:r>
      <w:r w:rsidR="00DC4FFF" w:rsidRPr="00361047">
        <w:rPr>
          <w:rFonts w:ascii="Times New Roman" w:hAnsi="Times New Roman" w:cs="Times New Roman"/>
          <w:lang w:val="it-IT"/>
        </w:rPr>
        <w:t>o il ricorso in primo grado</w:t>
      </w:r>
      <w:r w:rsidR="00DB2E12" w:rsidRPr="00361047">
        <w:rPr>
          <w:rFonts w:ascii="Times New Roman" w:hAnsi="Times New Roman" w:cs="Times New Roman"/>
          <w:lang w:val="it-IT"/>
        </w:rPr>
        <w:t xml:space="preserve">, evidentemente non riscontrando profili di illegittimità del provvedimento amministrativo né altre ragioni </w:t>
      </w:r>
      <w:r w:rsidR="004B5E7D" w:rsidRPr="00361047">
        <w:rPr>
          <w:rFonts w:ascii="Times New Roman" w:hAnsi="Times New Roman" w:cs="Times New Roman"/>
          <w:lang w:val="it-IT"/>
        </w:rPr>
        <w:t xml:space="preserve">per </w:t>
      </w:r>
      <w:r w:rsidR="00DB2E12" w:rsidRPr="00361047">
        <w:rPr>
          <w:rFonts w:ascii="Times New Roman" w:hAnsi="Times New Roman" w:cs="Times New Roman"/>
          <w:lang w:val="it-IT"/>
        </w:rPr>
        <w:t xml:space="preserve">riconoscere la protezione internazionale. </w:t>
      </w:r>
      <w:r w:rsidR="003737BE" w:rsidRPr="00361047">
        <w:rPr>
          <w:rFonts w:ascii="Times New Roman" w:hAnsi="Times New Roman" w:cs="Times New Roman"/>
          <w:lang w:val="it-IT"/>
        </w:rPr>
        <w:t>Tale</w:t>
      </w:r>
      <w:r w:rsidR="006054E8" w:rsidRPr="00361047">
        <w:rPr>
          <w:rFonts w:ascii="Times New Roman" w:hAnsi="Times New Roman" w:cs="Times New Roman"/>
          <w:lang w:val="it-IT"/>
        </w:rPr>
        <w:t xml:space="preserve"> giudice che deve decidere della sospensione della decisione di rigetto emessa in primo grado non garantisce quella</w:t>
      </w:r>
      <w:r w:rsidR="00133EAC" w:rsidRPr="00361047">
        <w:rPr>
          <w:rFonts w:ascii="Times New Roman" w:hAnsi="Times New Roman" w:cs="Times New Roman"/>
          <w:lang w:val="it-IT"/>
        </w:rPr>
        <w:t xml:space="preserve"> terzietà e</w:t>
      </w:r>
      <w:r w:rsidR="006054E8" w:rsidRPr="00361047">
        <w:rPr>
          <w:rFonts w:ascii="Times New Roman" w:hAnsi="Times New Roman" w:cs="Times New Roman"/>
          <w:lang w:val="it-IT"/>
        </w:rPr>
        <w:t xml:space="preserve">d </w:t>
      </w:r>
      <w:r w:rsidR="00133EAC" w:rsidRPr="00361047">
        <w:rPr>
          <w:rFonts w:ascii="Times New Roman" w:hAnsi="Times New Roman" w:cs="Times New Roman"/>
          <w:lang w:val="it-IT"/>
        </w:rPr>
        <w:t xml:space="preserve">imparzialità </w:t>
      </w:r>
      <w:r w:rsidR="006054E8" w:rsidRPr="00361047">
        <w:rPr>
          <w:rFonts w:ascii="Times New Roman" w:hAnsi="Times New Roman" w:cs="Times New Roman"/>
          <w:lang w:val="it-IT"/>
        </w:rPr>
        <w:t>che invece il principio di un processo equo richiede</w:t>
      </w:r>
      <w:r w:rsidR="003737BE" w:rsidRPr="00361047">
        <w:rPr>
          <w:rFonts w:ascii="Times New Roman" w:hAnsi="Times New Roman" w:cs="Times New Roman"/>
          <w:lang w:val="it-IT"/>
        </w:rPr>
        <w:t>rebbe</w:t>
      </w:r>
      <w:r w:rsidR="006054E8" w:rsidRPr="00361047">
        <w:rPr>
          <w:rFonts w:ascii="Times New Roman" w:hAnsi="Times New Roman" w:cs="Times New Roman"/>
          <w:lang w:val="it-IT"/>
        </w:rPr>
        <w:t xml:space="preserve">. </w:t>
      </w:r>
      <w:r w:rsidR="0087718B" w:rsidRPr="00361047">
        <w:rPr>
          <w:rFonts w:ascii="Times New Roman" w:hAnsi="Times New Roman" w:cs="Times New Roman"/>
          <w:lang w:val="it-IT"/>
        </w:rPr>
        <w:t xml:space="preserve">E ciò soprattutto alla luce del fatto che tale medesimo giudice è chiamato a maturare la propria </w:t>
      </w:r>
      <w:r w:rsidR="00133EAC" w:rsidRPr="00361047">
        <w:rPr>
          <w:rFonts w:ascii="Times New Roman" w:hAnsi="Times New Roman" w:cs="Times New Roman"/>
          <w:lang w:val="it-IT"/>
        </w:rPr>
        <w:t xml:space="preserve">valutazione </w:t>
      </w:r>
      <w:r w:rsidR="003627ED" w:rsidRPr="00361047">
        <w:rPr>
          <w:rFonts w:ascii="Times New Roman" w:hAnsi="Times New Roman" w:cs="Times New Roman"/>
          <w:lang w:val="it-IT"/>
        </w:rPr>
        <w:t>in base all’esistenza di fondati motivi</w:t>
      </w:r>
      <w:r w:rsidR="00133EAC" w:rsidRPr="00361047">
        <w:rPr>
          <w:rFonts w:ascii="Times New Roman" w:hAnsi="Times New Roman" w:cs="Times New Roman"/>
          <w:lang w:val="it-IT"/>
        </w:rPr>
        <w:t xml:space="preserve">. </w:t>
      </w:r>
    </w:p>
    <w:p w14:paraId="4E963F41" w14:textId="60FED9CD" w:rsidR="007340DC" w:rsidRPr="00361047" w:rsidRDefault="008A1FEE"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 xml:space="preserve">Tale disciplina risulta inoltre contrastante con il principio di equivalenza, uno dei parametri attraverso i quali </w:t>
      </w:r>
      <w:r w:rsidR="003627ED" w:rsidRPr="00361047">
        <w:rPr>
          <w:rFonts w:ascii="Times New Roman" w:hAnsi="Times New Roman" w:cs="Times New Roman"/>
          <w:lang w:val="it-IT"/>
        </w:rPr>
        <w:t xml:space="preserve">la Corte di giustizia valuta </w:t>
      </w:r>
      <w:r w:rsidRPr="00361047">
        <w:rPr>
          <w:rFonts w:ascii="Times New Roman" w:hAnsi="Times New Roman" w:cs="Times New Roman"/>
          <w:lang w:val="it-IT"/>
        </w:rPr>
        <w:t xml:space="preserve">se i rimedi giurisdizionali nazionali siano </w:t>
      </w:r>
      <w:r w:rsidR="00DA7E18" w:rsidRPr="00361047">
        <w:rPr>
          <w:rFonts w:ascii="Times New Roman" w:hAnsi="Times New Roman" w:cs="Times New Roman"/>
          <w:lang w:val="it-IT"/>
        </w:rPr>
        <w:t>compatibili con il principio della tutela giurisdizionale di derivazione europea</w:t>
      </w:r>
      <w:r w:rsidR="00C42CBD" w:rsidRPr="00361047">
        <w:rPr>
          <w:rFonts w:ascii="Times New Roman" w:hAnsi="Times New Roman" w:cs="Times New Roman"/>
          <w:lang w:val="it-IT"/>
        </w:rPr>
        <w:t>, come ampiamente interpretati dalla Corte di giustizia.</w:t>
      </w:r>
      <w:r w:rsidR="002C5F1E" w:rsidRPr="00361047">
        <w:rPr>
          <w:rFonts w:ascii="Times New Roman" w:hAnsi="Times New Roman" w:cs="Times New Roman"/>
          <w:lang w:val="it-IT"/>
        </w:rPr>
        <w:t xml:space="preserve"> </w:t>
      </w:r>
      <w:r w:rsidR="003D299A" w:rsidRPr="00361047">
        <w:rPr>
          <w:rFonts w:ascii="Times New Roman" w:hAnsi="Times New Roman" w:cs="Times New Roman"/>
          <w:lang w:val="it-IT"/>
        </w:rPr>
        <w:t>Sul punto, osserva il Tribunale come il rimedio analogo riconosciuto ai cittadini dello Stato membro avverso una decisione negativa impugnata in Cassazione è rappresentato dall’art. 373 c.p.c.</w:t>
      </w:r>
      <w:r w:rsidR="002C5F1E" w:rsidRPr="00361047">
        <w:rPr>
          <w:rFonts w:ascii="Times New Roman" w:hAnsi="Times New Roman" w:cs="Times New Roman"/>
          <w:lang w:val="it-IT"/>
        </w:rPr>
        <w:t xml:space="preserve"> </w:t>
      </w:r>
      <w:r w:rsidR="00FF0174" w:rsidRPr="00361047">
        <w:rPr>
          <w:rFonts w:ascii="Times New Roman" w:hAnsi="Times New Roman" w:cs="Times New Roman"/>
          <w:lang w:val="it-IT"/>
        </w:rPr>
        <w:t xml:space="preserve">che </w:t>
      </w:r>
      <w:r w:rsidR="003D299A" w:rsidRPr="00361047">
        <w:rPr>
          <w:rFonts w:ascii="Times New Roman" w:hAnsi="Times New Roman" w:cs="Times New Roman"/>
          <w:lang w:val="it-IT"/>
        </w:rPr>
        <w:t xml:space="preserve">pone quale </w:t>
      </w:r>
      <w:r w:rsidR="003D299A" w:rsidRPr="00361047">
        <w:rPr>
          <w:rFonts w:ascii="Times New Roman" w:hAnsi="Times New Roman" w:cs="Times New Roman"/>
          <w:lang w:val="it-IT"/>
        </w:rPr>
        <w:lastRenderedPageBreak/>
        <w:t>unico requisito il pericolo di un danno grave e irreparabile</w:t>
      </w:r>
      <w:r w:rsidR="00D04033" w:rsidRPr="00361047">
        <w:rPr>
          <w:rFonts w:ascii="Times New Roman" w:hAnsi="Times New Roman" w:cs="Times New Roman"/>
          <w:lang w:val="it-IT"/>
        </w:rPr>
        <w:t xml:space="preserve">: in sostanza in base all’art. 373 c.p.c. la sospensiva è accordata se sussiste il </w:t>
      </w:r>
      <w:r w:rsidR="003D299A" w:rsidRPr="00361047">
        <w:rPr>
          <w:rFonts w:ascii="Times New Roman" w:hAnsi="Times New Roman" w:cs="Times New Roman"/>
          <w:lang w:val="it-IT"/>
        </w:rPr>
        <w:t>periculum in mora, senza fare alcun riferimento al requisito del fumus boni iuris</w:t>
      </w:r>
      <w:r w:rsidR="007340DC" w:rsidRPr="00361047">
        <w:rPr>
          <w:rFonts w:ascii="Times New Roman" w:hAnsi="Times New Roman" w:cs="Times New Roman"/>
          <w:lang w:val="it-IT"/>
        </w:rPr>
        <w:t xml:space="preserve"> come previsto invece in materia di sospensiva nell’ambito del giudizio sulla protezione internazionale. </w:t>
      </w:r>
    </w:p>
    <w:p w14:paraId="79140003" w14:textId="182908D2" w:rsidR="00EF720B" w:rsidRPr="00361047" w:rsidRDefault="00DB2632"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In altre parole, l</w:t>
      </w:r>
      <w:r w:rsidR="003D299A" w:rsidRPr="00361047">
        <w:rPr>
          <w:rFonts w:ascii="Times New Roman" w:hAnsi="Times New Roman" w:cs="Times New Roman"/>
          <w:lang w:val="it-IT"/>
        </w:rPr>
        <w:t xml:space="preserve">’art. 35 bis, comma 13, individua il giudice competente a decidere nel "giudice che ha pronunciato il decreto impugnato" e lo chiama a </w:t>
      </w:r>
      <w:r w:rsidR="002D571F" w:rsidRPr="00361047">
        <w:rPr>
          <w:rFonts w:ascii="Times New Roman" w:hAnsi="Times New Roman" w:cs="Times New Roman"/>
          <w:lang w:val="it-IT"/>
        </w:rPr>
        <w:t xml:space="preserve">deliberare </w:t>
      </w:r>
      <w:r w:rsidR="003D299A" w:rsidRPr="00361047">
        <w:rPr>
          <w:rFonts w:ascii="Times New Roman" w:hAnsi="Times New Roman" w:cs="Times New Roman"/>
          <w:lang w:val="it-IT"/>
        </w:rPr>
        <w:t>sulla sospensione solo sulla base della fondatezza dei motivi di ricorso. Lo stesso Tribunale che ha emesso il provvedimento negativo è chiamato a decidere se sospendere o meno il provvedimento di rigetto (e, dunque se consentire la permanenza sul territorio nazional</w:t>
      </w:r>
      <w:r w:rsidR="003627ED" w:rsidRPr="00361047">
        <w:rPr>
          <w:rFonts w:ascii="Times New Roman" w:hAnsi="Times New Roman" w:cs="Times New Roman"/>
          <w:lang w:val="it-IT"/>
        </w:rPr>
        <w:t>e</w:t>
      </w:r>
      <w:r w:rsidR="003D299A" w:rsidRPr="00361047">
        <w:rPr>
          <w:rFonts w:ascii="Times New Roman" w:hAnsi="Times New Roman" w:cs="Times New Roman"/>
          <w:lang w:val="it-IT"/>
        </w:rPr>
        <w:t xml:space="preserve"> al richiedente protezione la cui domanda non è stata ancora decisa in via definitiva), sulla base di una valutazione sommaria della fondatezza dei motivi di ricorso avverso la decisione eme</w:t>
      </w:r>
      <w:r w:rsidR="00EF720B" w:rsidRPr="00361047">
        <w:rPr>
          <w:rFonts w:ascii="Times New Roman" w:hAnsi="Times New Roman" w:cs="Times New Roman"/>
          <w:lang w:val="it-IT"/>
        </w:rPr>
        <w:t>s</w:t>
      </w:r>
      <w:r w:rsidR="003D299A" w:rsidRPr="00361047">
        <w:rPr>
          <w:rFonts w:ascii="Times New Roman" w:hAnsi="Times New Roman" w:cs="Times New Roman"/>
          <w:lang w:val="it-IT"/>
        </w:rPr>
        <w:t>sa dal Tribunale</w:t>
      </w:r>
      <w:r w:rsidR="00EF720B" w:rsidRPr="00361047">
        <w:rPr>
          <w:rFonts w:ascii="Times New Roman" w:hAnsi="Times New Roman" w:cs="Times New Roman"/>
          <w:lang w:val="it-IT"/>
        </w:rPr>
        <w:t xml:space="preserve"> e non sulla base del periculum derivante dall’esecuzione del provvediment</w:t>
      </w:r>
      <w:r w:rsidR="0071136F" w:rsidRPr="00361047">
        <w:rPr>
          <w:rFonts w:ascii="Times New Roman" w:hAnsi="Times New Roman" w:cs="Times New Roman"/>
          <w:lang w:val="it-IT"/>
        </w:rPr>
        <w:t>o</w:t>
      </w:r>
      <w:r w:rsidR="00EF720B" w:rsidRPr="00361047">
        <w:rPr>
          <w:rFonts w:ascii="Times New Roman" w:hAnsi="Times New Roman" w:cs="Times New Roman"/>
          <w:lang w:val="it-IT"/>
        </w:rPr>
        <w:t>, come previsto invece in via generale.</w:t>
      </w:r>
    </w:p>
    <w:p w14:paraId="11059524" w14:textId="4D596211" w:rsidR="00FC2A33" w:rsidRPr="00361047" w:rsidRDefault="008F343C"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 xml:space="preserve">Tale diverso regime non si basa su alcuna </w:t>
      </w:r>
      <w:r w:rsidR="001F6B4B" w:rsidRPr="00361047">
        <w:rPr>
          <w:rFonts w:ascii="Times New Roman" w:hAnsi="Times New Roman" w:cs="Times New Roman"/>
          <w:lang w:val="it-IT"/>
        </w:rPr>
        <w:t xml:space="preserve">ragione oggettiva se non sulla volontà del legislatore di contrastare l’abuso del diritto di asilo e, dunque, ostacolare anche i connessi ricorsi giurisdizionali necessariamente previsti nell’ordinamento italiano. </w:t>
      </w:r>
    </w:p>
    <w:p w14:paraId="2770F99E" w14:textId="7A77ECC5" w:rsidR="001D37AB" w:rsidRPr="00361047" w:rsidRDefault="00D92149"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La Corte di giustizia si è pronunciata</w:t>
      </w:r>
      <w:r w:rsidR="00C97B02" w:rsidRPr="00361047">
        <w:rPr>
          <w:rFonts w:ascii="Times New Roman" w:hAnsi="Times New Roman" w:cs="Times New Roman"/>
          <w:lang w:val="it-IT"/>
        </w:rPr>
        <w:t xml:space="preserve">, </w:t>
      </w:r>
      <w:r w:rsidR="00A270E2" w:rsidRPr="00361047">
        <w:rPr>
          <w:rFonts w:ascii="Times New Roman" w:hAnsi="Times New Roman" w:cs="Times New Roman"/>
          <w:lang w:val="it-IT"/>
        </w:rPr>
        <w:t>a seguito dell’applicazione della procedura d’urgenza</w:t>
      </w:r>
      <w:r w:rsidR="00C97B02" w:rsidRPr="00361047">
        <w:rPr>
          <w:rFonts w:ascii="Times New Roman" w:hAnsi="Times New Roman" w:cs="Times New Roman"/>
          <w:lang w:val="it-IT"/>
        </w:rPr>
        <w:t xml:space="preserve">, con </w:t>
      </w:r>
      <w:r w:rsidR="00770B33" w:rsidRPr="00361047">
        <w:rPr>
          <w:rFonts w:ascii="Times New Roman" w:hAnsi="Times New Roman" w:cs="Times New Roman"/>
          <w:lang w:val="it-IT"/>
        </w:rPr>
        <w:t xml:space="preserve">un’ordinanza </w:t>
      </w:r>
      <w:r w:rsidR="00C97B02" w:rsidRPr="00361047">
        <w:rPr>
          <w:rFonts w:ascii="Times New Roman" w:hAnsi="Times New Roman" w:cs="Times New Roman"/>
          <w:lang w:val="it-IT"/>
        </w:rPr>
        <w:t xml:space="preserve">pubblicata </w:t>
      </w:r>
      <w:r w:rsidR="00B67B39" w:rsidRPr="00361047">
        <w:rPr>
          <w:rFonts w:ascii="Times New Roman" w:hAnsi="Times New Roman" w:cs="Times New Roman"/>
          <w:lang w:val="it-IT"/>
        </w:rPr>
        <w:t xml:space="preserve">il </w:t>
      </w:r>
      <w:r w:rsidR="00C97B02" w:rsidRPr="00361047">
        <w:rPr>
          <w:rFonts w:ascii="Times New Roman" w:hAnsi="Times New Roman" w:cs="Times New Roman"/>
          <w:lang w:val="it-IT"/>
        </w:rPr>
        <w:t>27 settembre 2018</w:t>
      </w:r>
      <w:r w:rsidR="00C17678" w:rsidRPr="00361047">
        <w:rPr>
          <w:rStyle w:val="Rimandonotaapidipagina"/>
          <w:rFonts w:ascii="Times New Roman" w:hAnsi="Times New Roman" w:cs="Times New Roman"/>
          <w:lang w:val="it-IT"/>
        </w:rPr>
        <w:footnoteReference w:id="21"/>
      </w:r>
      <w:r w:rsidR="000609F3" w:rsidRPr="00361047">
        <w:rPr>
          <w:rFonts w:ascii="Times New Roman" w:hAnsi="Times New Roman" w:cs="Times New Roman"/>
          <w:lang w:val="it-IT"/>
        </w:rPr>
        <w:t xml:space="preserve">, </w:t>
      </w:r>
      <w:r w:rsidR="00770B33" w:rsidRPr="00361047">
        <w:rPr>
          <w:rFonts w:ascii="Times New Roman" w:hAnsi="Times New Roman" w:cs="Times New Roman"/>
          <w:lang w:val="it-IT"/>
        </w:rPr>
        <w:t xml:space="preserve">rinviando alle argomentazioni contenute in un caso analogo deciso con sentenza pronunciata il 26 settembre </w:t>
      </w:r>
      <w:r w:rsidR="002707E9" w:rsidRPr="00361047">
        <w:rPr>
          <w:rFonts w:ascii="Times New Roman" w:hAnsi="Times New Roman" w:cs="Times New Roman"/>
          <w:lang w:val="it-IT"/>
        </w:rPr>
        <w:t xml:space="preserve">2018 </w:t>
      </w:r>
      <w:r w:rsidR="000609F3" w:rsidRPr="00361047">
        <w:rPr>
          <w:rFonts w:ascii="Times New Roman" w:hAnsi="Times New Roman" w:cs="Times New Roman"/>
          <w:lang w:val="it-IT"/>
        </w:rPr>
        <w:t xml:space="preserve">su rimessione del </w:t>
      </w:r>
      <w:r w:rsidR="00F856D3" w:rsidRPr="00361047">
        <w:rPr>
          <w:rFonts w:ascii="Times New Roman" w:hAnsi="Times New Roman" w:cs="Times New Roman"/>
          <w:lang w:val="it-IT"/>
        </w:rPr>
        <w:t>Consiglio di Stato dei Paesi Bassi</w:t>
      </w:r>
      <w:r w:rsidR="00C17678" w:rsidRPr="00361047">
        <w:rPr>
          <w:rStyle w:val="Rimandonotaapidipagina"/>
          <w:rFonts w:ascii="Times New Roman" w:hAnsi="Times New Roman" w:cs="Times New Roman"/>
          <w:lang w:val="it-IT"/>
        </w:rPr>
        <w:footnoteReference w:id="22"/>
      </w:r>
      <w:r w:rsidR="00F856D3" w:rsidRPr="00361047">
        <w:rPr>
          <w:rFonts w:ascii="Times New Roman" w:hAnsi="Times New Roman" w:cs="Times New Roman"/>
          <w:lang w:val="it-IT"/>
        </w:rPr>
        <w:t>.</w:t>
      </w:r>
      <w:r w:rsidR="004935E2" w:rsidRPr="00361047">
        <w:rPr>
          <w:rFonts w:ascii="Times New Roman" w:hAnsi="Times New Roman" w:cs="Times New Roman"/>
          <w:lang w:val="it-IT"/>
        </w:rPr>
        <w:t xml:space="preserve"> </w:t>
      </w:r>
      <w:r w:rsidR="001D37AB" w:rsidRPr="00361047">
        <w:rPr>
          <w:rFonts w:ascii="Times New Roman" w:hAnsi="Times New Roman" w:cs="Times New Roman"/>
          <w:lang w:val="it-IT"/>
        </w:rPr>
        <w:t xml:space="preserve">Si consideri che il rinvio pregiudiziale nel caso olandese era stato notificato alla Corte di giustizia il 7 aprile 2017, mentre quello nel caso italiano il 28 giugno 2018. </w:t>
      </w:r>
      <w:proofErr w:type="gramStart"/>
      <w:r w:rsidR="001D37AB" w:rsidRPr="00361047">
        <w:rPr>
          <w:rFonts w:ascii="Times New Roman" w:hAnsi="Times New Roman" w:cs="Times New Roman"/>
          <w:lang w:val="it-IT"/>
        </w:rPr>
        <w:t>Tuttavia</w:t>
      </w:r>
      <w:proofErr w:type="gramEnd"/>
      <w:r w:rsidR="001D37AB" w:rsidRPr="00361047">
        <w:rPr>
          <w:rFonts w:ascii="Times New Roman" w:hAnsi="Times New Roman" w:cs="Times New Roman"/>
          <w:lang w:val="it-IT"/>
        </w:rPr>
        <w:t xml:space="preserve"> nel primo caso il rinvio pregiudiziale ha seguito la procedura ordinaria, mentre nel secondo la Corte ha accolto la richiesta del giudice nazionale di applicare il rinvio pregiudiziale d’urgenza con una decisione in tal senso adottata l’11 luglio 2018. </w:t>
      </w:r>
      <w:r w:rsidR="00816C83" w:rsidRPr="00361047">
        <w:rPr>
          <w:rFonts w:ascii="Times New Roman" w:hAnsi="Times New Roman" w:cs="Times New Roman"/>
          <w:lang w:val="it-IT"/>
        </w:rPr>
        <w:t xml:space="preserve">Considerando anche il periodo estivo con la sospensione delle attività giurisdizionali, alla Corte di giustizia deve essere apparsa una soluzione perfetta quella di decidere prima il caso olandese ed il giorno dopo il caso italiano rinviando </w:t>
      </w:r>
      <w:r w:rsidR="00816C83" w:rsidRPr="00361047">
        <w:rPr>
          <w:rFonts w:ascii="Times New Roman" w:hAnsi="Times New Roman" w:cs="Times New Roman"/>
          <w:i/>
          <w:lang w:val="it-IT"/>
        </w:rPr>
        <w:t xml:space="preserve">per </w:t>
      </w:r>
      <w:proofErr w:type="spellStart"/>
      <w:r w:rsidR="00816C83" w:rsidRPr="00361047">
        <w:rPr>
          <w:rFonts w:ascii="Times New Roman" w:hAnsi="Times New Roman" w:cs="Times New Roman"/>
          <w:i/>
          <w:lang w:val="it-IT"/>
        </w:rPr>
        <w:t>relationem</w:t>
      </w:r>
      <w:proofErr w:type="spellEnd"/>
      <w:r w:rsidR="00816C83" w:rsidRPr="00361047">
        <w:rPr>
          <w:rFonts w:ascii="Times New Roman" w:hAnsi="Times New Roman" w:cs="Times New Roman"/>
          <w:lang w:val="it-IT"/>
        </w:rPr>
        <w:t xml:space="preserve"> al primo e tralasciando, come si vedrà, gli aspetti specifici che quest’ultimo caso presentava, differentemente dal caso olandese.  </w:t>
      </w:r>
    </w:p>
    <w:p w14:paraId="78957A9A" w14:textId="53D9484C" w:rsidR="00615B95" w:rsidRPr="00361047" w:rsidRDefault="00943E3E"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 xml:space="preserve">Secondo la Corte </w:t>
      </w:r>
      <w:r w:rsidR="00F51E21" w:rsidRPr="00361047">
        <w:rPr>
          <w:rFonts w:ascii="Times New Roman" w:hAnsi="Times New Roman" w:cs="Times New Roman"/>
          <w:lang w:val="it-IT"/>
        </w:rPr>
        <w:t>a</w:t>
      </w:r>
      <w:r w:rsidRPr="00361047">
        <w:rPr>
          <w:rFonts w:ascii="Times New Roman" w:hAnsi="Times New Roman" w:cs="Times New Roman"/>
          <w:lang w:val="it-IT"/>
        </w:rPr>
        <w:t xml:space="preserve">i sensi dell’articolo 46, paragrafo 1, della direttiva 2013/32, gli Stati membri </w:t>
      </w:r>
      <w:r w:rsidR="003627ED" w:rsidRPr="00361047">
        <w:rPr>
          <w:rFonts w:ascii="Times New Roman" w:hAnsi="Times New Roman" w:cs="Times New Roman"/>
          <w:lang w:val="it-IT"/>
        </w:rPr>
        <w:t xml:space="preserve">sono obbligati a garantire al </w:t>
      </w:r>
      <w:r w:rsidRPr="00361047">
        <w:rPr>
          <w:rFonts w:ascii="Times New Roman" w:hAnsi="Times New Roman" w:cs="Times New Roman"/>
          <w:lang w:val="it-IT"/>
        </w:rPr>
        <w:t xml:space="preserve">richiedente </w:t>
      </w:r>
      <w:r w:rsidR="003627ED" w:rsidRPr="00361047">
        <w:rPr>
          <w:rFonts w:ascii="Times New Roman" w:hAnsi="Times New Roman" w:cs="Times New Roman"/>
          <w:lang w:val="it-IT"/>
        </w:rPr>
        <w:t xml:space="preserve">un </w:t>
      </w:r>
      <w:r w:rsidRPr="00361047">
        <w:rPr>
          <w:rFonts w:ascii="Times New Roman" w:hAnsi="Times New Roman" w:cs="Times New Roman"/>
          <w:lang w:val="it-IT"/>
        </w:rPr>
        <w:t>diritto a un ricorso effettivo dinanzi a un giudice contr</w:t>
      </w:r>
      <w:r w:rsidR="002547EA" w:rsidRPr="00361047">
        <w:rPr>
          <w:rFonts w:ascii="Times New Roman" w:hAnsi="Times New Roman" w:cs="Times New Roman"/>
          <w:lang w:val="it-IT"/>
        </w:rPr>
        <w:t xml:space="preserve">o </w:t>
      </w:r>
      <w:r w:rsidRPr="00361047">
        <w:rPr>
          <w:rFonts w:ascii="Times New Roman" w:hAnsi="Times New Roman" w:cs="Times New Roman"/>
          <w:lang w:val="it-IT"/>
        </w:rPr>
        <w:t>una decisione sulla sua domanda di protezione internazionale</w:t>
      </w:r>
      <w:r w:rsidR="002547EA" w:rsidRPr="00361047">
        <w:rPr>
          <w:rFonts w:ascii="Times New Roman" w:hAnsi="Times New Roman" w:cs="Times New Roman"/>
          <w:lang w:val="it-IT"/>
        </w:rPr>
        <w:t xml:space="preserve">, </w:t>
      </w:r>
      <w:r w:rsidR="004301C7" w:rsidRPr="00361047">
        <w:rPr>
          <w:rFonts w:ascii="Times New Roman" w:hAnsi="Times New Roman" w:cs="Times New Roman"/>
          <w:lang w:val="it-IT"/>
        </w:rPr>
        <w:t>quanto meno dinanzi</w:t>
      </w:r>
      <w:r w:rsidR="002547EA" w:rsidRPr="00361047">
        <w:rPr>
          <w:rFonts w:ascii="Times New Roman" w:hAnsi="Times New Roman" w:cs="Times New Roman"/>
          <w:lang w:val="it-IT"/>
        </w:rPr>
        <w:t xml:space="preserve"> al giudizio di primo grado</w:t>
      </w:r>
      <w:r w:rsidRPr="00361047">
        <w:rPr>
          <w:rFonts w:ascii="Times New Roman" w:hAnsi="Times New Roman" w:cs="Times New Roman"/>
          <w:lang w:val="it-IT"/>
        </w:rPr>
        <w:t xml:space="preserve">. </w:t>
      </w:r>
      <w:r w:rsidR="00FF13E3" w:rsidRPr="00361047">
        <w:rPr>
          <w:rFonts w:ascii="Times New Roman" w:hAnsi="Times New Roman" w:cs="Times New Roman"/>
          <w:lang w:val="it-IT"/>
        </w:rPr>
        <w:t>L’argomentazione della Corte è estremamente lineare, non lasciando alcuno spazio a quella interpretazione estensiva dei diritti fondamentali, anche di natura giurisdizionale, che in altri settori si è talvolta potuto apprezzare.</w:t>
      </w:r>
      <w:r w:rsidR="00FB5DB7" w:rsidRPr="00361047">
        <w:rPr>
          <w:rFonts w:ascii="Times New Roman" w:hAnsi="Times New Roman" w:cs="Times New Roman"/>
          <w:lang w:val="it-IT"/>
        </w:rPr>
        <w:t xml:space="preserve"> La Corte ribadisce che, c</w:t>
      </w:r>
      <w:r w:rsidRPr="00361047">
        <w:rPr>
          <w:rFonts w:ascii="Times New Roman" w:hAnsi="Times New Roman" w:cs="Times New Roman"/>
          <w:lang w:val="it-IT"/>
        </w:rPr>
        <w:t xml:space="preserve">onformemente all’articolo 46, </w:t>
      </w:r>
      <w:r w:rsidRPr="00361047">
        <w:rPr>
          <w:rFonts w:ascii="Times New Roman" w:hAnsi="Times New Roman" w:cs="Times New Roman"/>
          <w:lang w:val="it-IT"/>
        </w:rPr>
        <w:lastRenderedPageBreak/>
        <w:t>paragrafo 5, della direttiva 2013/32, gli Stati membri, fatto salvi</w:t>
      </w:r>
      <w:r w:rsidR="008E0458" w:rsidRPr="00361047">
        <w:rPr>
          <w:rFonts w:ascii="Times New Roman" w:hAnsi="Times New Roman" w:cs="Times New Roman"/>
          <w:lang w:val="it-IT"/>
        </w:rPr>
        <w:t xml:space="preserve"> </w:t>
      </w:r>
      <w:r w:rsidRPr="00361047">
        <w:rPr>
          <w:rFonts w:ascii="Times New Roman" w:hAnsi="Times New Roman" w:cs="Times New Roman"/>
          <w:lang w:val="it-IT"/>
        </w:rPr>
        <w:t>i casi previsti al paragrafo 6 di detto articolo, sono tenuti ad autorizzare i richiedenti a rimanere</w:t>
      </w:r>
      <w:r w:rsidR="008E0458" w:rsidRPr="00361047">
        <w:rPr>
          <w:rFonts w:ascii="Times New Roman" w:hAnsi="Times New Roman" w:cs="Times New Roman"/>
          <w:lang w:val="it-IT"/>
        </w:rPr>
        <w:t xml:space="preserve"> </w:t>
      </w:r>
      <w:r w:rsidRPr="00361047">
        <w:rPr>
          <w:rFonts w:ascii="Times New Roman" w:hAnsi="Times New Roman" w:cs="Times New Roman"/>
          <w:lang w:val="it-IT"/>
        </w:rPr>
        <w:t>nel loro territorio fino alla scadenza del termine entro il quale possono esercitare il loro diritto a</w:t>
      </w:r>
      <w:r w:rsidR="008E0458" w:rsidRPr="00361047">
        <w:rPr>
          <w:rFonts w:ascii="Times New Roman" w:hAnsi="Times New Roman" w:cs="Times New Roman"/>
          <w:lang w:val="it-IT"/>
        </w:rPr>
        <w:t xml:space="preserve"> </w:t>
      </w:r>
      <w:r w:rsidRPr="00361047">
        <w:rPr>
          <w:rFonts w:ascii="Times New Roman" w:hAnsi="Times New Roman" w:cs="Times New Roman"/>
          <w:lang w:val="it-IT"/>
        </w:rPr>
        <w:t>un</w:t>
      </w:r>
      <w:r w:rsidR="008E0458" w:rsidRPr="00361047">
        <w:rPr>
          <w:rFonts w:ascii="Times New Roman" w:hAnsi="Times New Roman" w:cs="Times New Roman"/>
          <w:lang w:val="it-IT"/>
        </w:rPr>
        <w:t xml:space="preserve"> </w:t>
      </w:r>
      <w:r w:rsidRPr="00361047">
        <w:rPr>
          <w:rFonts w:ascii="Times New Roman" w:hAnsi="Times New Roman" w:cs="Times New Roman"/>
          <w:lang w:val="it-IT"/>
        </w:rPr>
        <w:t>ricorso effettivo oppure, se tale diritto è stato esercitato entro il termine previsto, in attesa</w:t>
      </w:r>
      <w:r w:rsidR="008E0458" w:rsidRPr="00361047">
        <w:rPr>
          <w:rFonts w:ascii="Times New Roman" w:hAnsi="Times New Roman" w:cs="Times New Roman"/>
          <w:lang w:val="it-IT"/>
        </w:rPr>
        <w:t xml:space="preserve"> </w:t>
      </w:r>
      <w:r w:rsidRPr="00361047">
        <w:rPr>
          <w:rFonts w:ascii="Times New Roman" w:hAnsi="Times New Roman" w:cs="Times New Roman"/>
          <w:lang w:val="it-IT"/>
        </w:rPr>
        <w:t>dell’esito del ricorso</w:t>
      </w:r>
      <w:r w:rsidR="003627ED" w:rsidRPr="00361047">
        <w:rPr>
          <w:rFonts w:ascii="Times New Roman" w:hAnsi="Times New Roman" w:cs="Times New Roman"/>
          <w:lang w:val="it-IT"/>
        </w:rPr>
        <w:t xml:space="preserve"> in primo grado</w:t>
      </w:r>
      <w:r w:rsidRPr="00361047">
        <w:rPr>
          <w:rFonts w:ascii="Times New Roman" w:hAnsi="Times New Roman" w:cs="Times New Roman"/>
          <w:lang w:val="it-IT"/>
        </w:rPr>
        <w:t>.</w:t>
      </w:r>
      <w:r w:rsidR="00592B92" w:rsidRPr="00361047">
        <w:rPr>
          <w:rFonts w:ascii="Times New Roman" w:hAnsi="Times New Roman" w:cs="Times New Roman"/>
          <w:lang w:val="it-IT"/>
        </w:rPr>
        <w:t xml:space="preserve"> Anche l’obbligo di procedere ad un </w:t>
      </w:r>
      <w:r w:rsidRPr="00361047">
        <w:rPr>
          <w:rFonts w:ascii="Times New Roman" w:hAnsi="Times New Roman" w:cs="Times New Roman"/>
          <w:lang w:val="it-IT"/>
        </w:rPr>
        <w:t>esame completo</w:t>
      </w:r>
      <w:r w:rsidR="000951AD" w:rsidRPr="00361047">
        <w:rPr>
          <w:rFonts w:ascii="Times New Roman" w:hAnsi="Times New Roman" w:cs="Times New Roman"/>
          <w:lang w:val="it-IT"/>
        </w:rPr>
        <w:t xml:space="preserve"> </w:t>
      </w:r>
      <w:r w:rsidRPr="00361047">
        <w:rPr>
          <w:rFonts w:ascii="Times New Roman" w:hAnsi="Times New Roman" w:cs="Times New Roman"/>
          <w:lang w:val="it-IT"/>
        </w:rPr>
        <w:t xml:space="preserve">ed ex nunc degli elementi di fatto e di diritto </w:t>
      </w:r>
      <w:r w:rsidR="003627ED" w:rsidRPr="00361047">
        <w:rPr>
          <w:rFonts w:ascii="Times New Roman" w:hAnsi="Times New Roman" w:cs="Times New Roman"/>
          <w:lang w:val="it-IT"/>
        </w:rPr>
        <w:t xml:space="preserve">previsto dalla medesima direttiva </w:t>
      </w:r>
      <w:r w:rsidRPr="00361047">
        <w:rPr>
          <w:rFonts w:ascii="Times New Roman" w:hAnsi="Times New Roman" w:cs="Times New Roman"/>
          <w:lang w:val="it-IT"/>
        </w:rPr>
        <w:t>si riferisce unicamente allo svolgimento del</w:t>
      </w:r>
      <w:r w:rsidR="000951AD" w:rsidRPr="00361047">
        <w:rPr>
          <w:rFonts w:ascii="Times New Roman" w:hAnsi="Times New Roman" w:cs="Times New Roman"/>
          <w:lang w:val="it-IT"/>
        </w:rPr>
        <w:t xml:space="preserve"> </w:t>
      </w:r>
      <w:r w:rsidRPr="00361047">
        <w:rPr>
          <w:rFonts w:ascii="Times New Roman" w:hAnsi="Times New Roman" w:cs="Times New Roman"/>
          <w:lang w:val="it-IT"/>
        </w:rPr>
        <w:t>procedimento giurisdizionale di primo grado.</w:t>
      </w:r>
    </w:p>
    <w:p w14:paraId="7BA25FEB" w14:textId="3F16E2E2" w:rsidR="00943E3E" w:rsidRPr="00361047" w:rsidRDefault="00615B95"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 xml:space="preserve">La direttiva, dunque, non impone alcun obbligo di istituire </w:t>
      </w:r>
      <w:r w:rsidR="00943E3E" w:rsidRPr="00361047">
        <w:rPr>
          <w:rFonts w:ascii="Times New Roman" w:hAnsi="Times New Roman" w:cs="Times New Roman"/>
          <w:lang w:val="it-IT"/>
        </w:rPr>
        <w:t>un secondo grado di giudizio, né di prevedere una determinata modalità di svolgimento</w:t>
      </w:r>
      <w:r w:rsidR="000951AD" w:rsidRPr="00361047">
        <w:rPr>
          <w:rFonts w:ascii="Times New Roman" w:hAnsi="Times New Roman" w:cs="Times New Roman"/>
          <w:lang w:val="it-IT"/>
        </w:rPr>
        <w:t xml:space="preserve"> </w:t>
      </w:r>
      <w:r w:rsidR="00943E3E" w:rsidRPr="00361047">
        <w:rPr>
          <w:rFonts w:ascii="Times New Roman" w:hAnsi="Times New Roman" w:cs="Times New Roman"/>
          <w:lang w:val="it-IT"/>
        </w:rPr>
        <w:t>del medesimo.</w:t>
      </w:r>
      <w:r w:rsidR="00530680" w:rsidRPr="00361047">
        <w:rPr>
          <w:rFonts w:ascii="Times New Roman" w:hAnsi="Times New Roman" w:cs="Times New Roman"/>
          <w:lang w:val="it-IT"/>
        </w:rPr>
        <w:t xml:space="preserve"> Secondo la Corte</w:t>
      </w:r>
      <w:r w:rsidR="00B02F9C" w:rsidRPr="00361047">
        <w:rPr>
          <w:rFonts w:ascii="Times New Roman" w:hAnsi="Times New Roman" w:cs="Times New Roman"/>
          <w:lang w:val="it-IT"/>
        </w:rPr>
        <w:t xml:space="preserve">, inoltre, un tale </w:t>
      </w:r>
      <w:r w:rsidR="00530680" w:rsidRPr="00361047">
        <w:rPr>
          <w:rFonts w:ascii="Times New Roman" w:hAnsi="Times New Roman" w:cs="Times New Roman"/>
          <w:lang w:val="it-IT"/>
        </w:rPr>
        <w:t xml:space="preserve">obbligo </w:t>
      </w:r>
      <w:r w:rsidR="00B02F9C" w:rsidRPr="00361047">
        <w:rPr>
          <w:rFonts w:ascii="Times New Roman" w:hAnsi="Times New Roman" w:cs="Times New Roman"/>
          <w:lang w:val="it-IT"/>
        </w:rPr>
        <w:t xml:space="preserve">non </w:t>
      </w:r>
      <w:r w:rsidR="00530680" w:rsidRPr="00361047">
        <w:rPr>
          <w:rFonts w:ascii="Times New Roman" w:hAnsi="Times New Roman" w:cs="Times New Roman"/>
          <w:lang w:val="it-IT"/>
        </w:rPr>
        <w:t xml:space="preserve">deriva neanche dal diritto ad un ricorso effettivo come tutelato nell’ambito della Convenzione europea dei diritti umani, all’art. 13. Anche la Corte EDU ha infatti con orientamento costante affermato che </w:t>
      </w:r>
      <w:r w:rsidR="00943E3E" w:rsidRPr="00361047">
        <w:rPr>
          <w:rFonts w:ascii="Times New Roman" w:hAnsi="Times New Roman" w:cs="Times New Roman"/>
          <w:lang w:val="it-IT"/>
        </w:rPr>
        <w:t>l’articolo 13 della stessa non</w:t>
      </w:r>
      <w:r w:rsidR="00465E72" w:rsidRPr="00361047">
        <w:rPr>
          <w:rFonts w:ascii="Times New Roman" w:hAnsi="Times New Roman" w:cs="Times New Roman"/>
          <w:lang w:val="it-IT"/>
        </w:rPr>
        <w:t xml:space="preserve"> </w:t>
      </w:r>
      <w:r w:rsidR="00816C83" w:rsidRPr="00361047">
        <w:rPr>
          <w:rFonts w:ascii="Times New Roman" w:hAnsi="Times New Roman" w:cs="Times New Roman"/>
          <w:lang w:val="it-IT"/>
        </w:rPr>
        <w:t>impone agli Stati</w:t>
      </w:r>
      <w:r w:rsidR="00943E3E" w:rsidRPr="00361047">
        <w:rPr>
          <w:rFonts w:ascii="Times New Roman" w:hAnsi="Times New Roman" w:cs="Times New Roman"/>
          <w:lang w:val="it-IT"/>
        </w:rPr>
        <w:t xml:space="preserve"> contraenti di istituire un secondo grado di giudizio, </w:t>
      </w:r>
      <w:r w:rsidR="00BF3722" w:rsidRPr="00361047">
        <w:rPr>
          <w:rFonts w:ascii="Times New Roman" w:hAnsi="Times New Roman" w:cs="Times New Roman"/>
          <w:lang w:val="it-IT"/>
        </w:rPr>
        <w:t>neanche quando sia in rilievo la violazione dell’art. 3 CEDU. Tuttavia, la stessa Corte EDU non ha mai esaminato nello specifico un caso nel quale venisse in rilievo un rimedio di appello non dotato di efficacia sospensiva, onde valutarne la compatibilità con l’art. 13 CEDU come invece affermato dalla Corte di giustizia afferma</w:t>
      </w:r>
      <w:r w:rsidR="00F0727F" w:rsidRPr="00361047">
        <w:rPr>
          <w:rStyle w:val="Rimandonotaapidipagina"/>
          <w:rFonts w:ascii="Times New Roman" w:hAnsi="Times New Roman" w:cs="Times New Roman"/>
          <w:lang w:val="it-IT"/>
        </w:rPr>
        <w:footnoteReference w:id="23"/>
      </w:r>
      <w:r w:rsidR="00943E3E" w:rsidRPr="00361047">
        <w:rPr>
          <w:rFonts w:ascii="Times New Roman" w:hAnsi="Times New Roman" w:cs="Times New Roman"/>
          <w:lang w:val="it-IT"/>
        </w:rPr>
        <w:t>.</w:t>
      </w:r>
      <w:r w:rsidR="0045546A" w:rsidRPr="00361047">
        <w:rPr>
          <w:rFonts w:ascii="Times New Roman" w:hAnsi="Times New Roman" w:cs="Times New Roman"/>
          <w:lang w:val="it-IT"/>
        </w:rPr>
        <w:t xml:space="preserve"> </w:t>
      </w:r>
      <w:r w:rsidR="00BF3722" w:rsidRPr="00361047">
        <w:rPr>
          <w:rFonts w:ascii="Times New Roman" w:hAnsi="Times New Roman" w:cs="Times New Roman"/>
          <w:lang w:val="it-IT"/>
        </w:rPr>
        <w:t>Inoltre, l</w:t>
      </w:r>
      <w:r w:rsidR="003627ED" w:rsidRPr="00361047">
        <w:rPr>
          <w:rFonts w:ascii="Times New Roman" w:hAnsi="Times New Roman" w:cs="Times New Roman"/>
          <w:lang w:val="it-IT"/>
        </w:rPr>
        <w:t xml:space="preserve">a Corte di giustizia manca completamente di precisare che </w:t>
      </w:r>
      <w:r w:rsidR="0045546A" w:rsidRPr="00361047">
        <w:rPr>
          <w:rFonts w:ascii="Times New Roman" w:hAnsi="Times New Roman" w:cs="Times New Roman"/>
          <w:lang w:val="it-IT"/>
        </w:rPr>
        <w:t>lo standard di tutela derivante dalla CEDU sia uno standard minimo e ciò sia rispetto al diritto dell’Unione sia rispetto al diritto nazionale. Ciò sarebbe stato rilevante per scongiurare l’affermazione al ribasso dello standard di tutela giurisdizionale nello spazio europeo, con ciò consentendo agli Stati di ridurre le garanzie giurisdizionali offerte nel proprio ordinamento, attestandosi su quelle inferiori vigenti nella CEDU e nell’Unione europea.</w:t>
      </w:r>
      <w:r w:rsidR="003627ED" w:rsidRPr="00361047">
        <w:rPr>
          <w:rFonts w:ascii="Times New Roman" w:hAnsi="Times New Roman" w:cs="Times New Roman"/>
          <w:lang w:val="it-IT"/>
        </w:rPr>
        <w:t xml:space="preserve"> </w:t>
      </w:r>
    </w:p>
    <w:p w14:paraId="5A6B18BF" w14:textId="74AA8A37" w:rsidR="00943E3E" w:rsidRPr="00361047" w:rsidRDefault="00FF4A37"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 xml:space="preserve">Tale approccio restrittivo emerge anche con riferimento agli </w:t>
      </w:r>
      <w:r w:rsidR="00FA51A6" w:rsidRPr="00361047">
        <w:rPr>
          <w:rFonts w:ascii="Times New Roman" w:hAnsi="Times New Roman" w:cs="Times New Roman"/>
          <w:lang w:val="it-IT"/>
        </w:rPr>
        <w:t xml:space="preserve">altri profili rilevanti </w:t>
      </w:r>
      <w:r w:rsidRPr="00361047">
        <w:rPr>
          <w:rFonts w:ascii="Times New Roman" w:hAnsi="Times New Roman" w:cs="Times New Roman"/>
          <w:lang w:val="it-IT"/>
        </w:rPr>
        <w:t>sottoposti alla valutazione della Corte di giustizia da parte del giudice milanese</w:t>
      </w:r>
      <w:r w:rsidR="0011751D" w:rsidRPr="00361047">
        <w:rPr>
          <w:rFonts w:ascii="Times New Roman" w:hAnsi="Times New Roman" w:cs="Times New Roman"/>
          <w:lang w:val="it-IT"/>
        </w:rPr>
        <w:t xml:space="preserve"> nella</w:t>
      </w:r>
      <w:r w:rsidRPr="00361047">
        <w:rPr>
          <w:rFonts w:ascii="Times New Roman" w:hAnsi="Times New Roman" w:cs="Times New Roman"/>
          <w:lang w:val="it-IT"/>
        </w:rPr>
        <w:t xml:space="preserve"> </w:t>
      </w:r>
      <w:r w:rsidR="00FA51A6" w:rsidRPr="00361047">
        <w:rPr>
          <w:rFonts w:ascii="Times New Roman" w:hAnsi="Times New Roman" w:cs="Times New Roman"/>
          <w:lang w:val="it-IT"/>
        </w:rPr>
        <w:t>sua ordinanza di rimessione, in particolare con riferimento al principio di equivalenza. La Corte infatti riconosce che</w:t>
      </w:r>
      <w:r w:rsidR="00313AD8" w:rsidRPr="00361047">
        <w:rPr>
          <w:rFonts w:ascii="Times New Roman" w:hAnsi="Times New Roman" w:cs="Times New Roman"/>
          <w:lang w:val="it-IT"/>
        </w:rPr>
        <w:t xml:space="preserve"> l’introduzione di un secondo grado di giudizio e la scelta di dotarlo </w:t>
      </w:r>
      <w:r w:rsidR="00943E3E" w:rsidRPr="00361047">
        <w:rPr>
          <w:rFonts w:ascii="Times New Roman" w:hAnsi="Times New Roman" w:cs="Times New Roman"/>
          <w:lang w:val="it-IT"/>
        </w:rPr>
        <w:t xml:space="preserve">di effetto sospensivo automatico </w:t>
      </w:r>
      <w:r w:rsidR="003627ED" w:rsidRPr="00361047">
        <w:rPr>
          <w:rFonts w:ascii="Times New Roman" w:hAnsi="Times New Roman" w:cs="Times New Roman"/>
          <w:lang w:val="it-IT"/>
        </w:rPr>
        <w:t xml:space="preserve">sono parte integrante di quei rimedi giurisdizionali nazionali </w:t>
      </w:r>
      <w:r w:rsidR="00943E3E" w:rsidRPr="00361047">
        <w:rPr>
          <w:rFonts w:ascii="Times New Roman" w:hAnsi="Times New Roman" w:cs="Times New Roman"/>
          <w:lang w:val="it-IT"/>
        </w:rPr>
        <w:t xml:space="preserve">che attuano il diritto ad un ricorso effettivo previsto all’articolo 46 della direttiva 2013/32. Sebbene tali </w:t>
      </w:r>
      <w:r w:rsidR="003627ED" w:rsidRPr="00361047">
        <w:rPr>
          <w:rFonts w:ascii="Times New Roman" w:hAnsi="Times New Roman" w:cs="Times New Roman"/>
          <w:lang w:val="it-IT"/>
        </w:rPr>
        <w:t xml:space="preserve">aspetti dei rimedi giurisdizionali </w:t>
      </w:r>
      <w:r w:rsidR="00943E3E" w:rsidRPr="00361047">
        <w:rPr>
          <w:rFonts w:ascii="Times New Roman" w:hAnsi="Times New Roman" w:cs="Times New Roman"/>
          <w:lang w:val="it-IT"/>
        </w:rPr>
        <w:t>rientrino nell’ordinamento giuridico interno degli</w:t>
      </w:r>
      <w:r w:rsidR="00465E72" w:rsidRPr="00361047">
        <w:rPr>
          <w:rFonts w:ascii="Times New Roman" w:hAnsi="Times New Roman" w:cs="Times New Roman"/>
          <w:lang w:val="it-IT"/>
        </w:rPr>
        <w:t xml:space="preserve"> </w:t>
      </w:r>
      <w:r w:rsidR="00943E3E" w:rsidRPr="00361047">
        <w:rPr>
          <w:rFonts w:ascii="Times New Roman" w:hAnsi="Times New Roman" w:cs="Times New Roman"/>
          <w:lang w:val="it-IT"/>
        </w:rPr>
        <w:t xml:space="preserve">Stati membri in forza del principio di </w:t>
      </w:r>
      <w:r w:rsidR="003627ED" w:rsidRPr="00361047">
        <w:rPr>
          <w:rFonts w:ascii="Times New Roman" w:hAnsi="Times New Roman" w:cs="Times New Roman"/>
          <w:lang w:val="it-IT"/>
        </w:rPr>
        <w:t>autonomia procedurale riconosciuto all’art. 19,</w:t>
      </w:r>
      <w:r w:rsidR="00AE5ED0" w:rsidRPr="00361047">
        <w:rPr>
          <w:rFonts w:ascii="Times New Roman" w:hAnsi="Times New Roman" w:cs="Times New Roman"/>
          <w:lang w:val="it-IT"/>
        </w:rPr>
        <w:t xml:space="preserve"> par.</w:t>
      </w:r>
      <w:r w:rsidR="003627ED" w:rsidRPr="00361047">
        <w:rPr>
          <w:rFonts w:ascii="Times New Roman" w:hAnsi="Times New Roman" w:cs="Times New Roman"/>
          <w:lang w:val="it-IT"/>
        </w:rPr>
        <w:t xml:space="preserve"> </w:t>
      </w:r>
      <w:r w:rsidR="00AE5ED0" w:rsidRPr="00361047">
        <w:rPr>
          <w:rFonts w:ascii="Times New Roman" w:hAnsi="Times New Roman" w:cs="Times New Roman"/>
          <w:lang w:val="it-IT"/>
        </w:rPr>
        <w:t xml:space="preserve">2, </w:t>
      </w:r>
      <w:r w:rsidR="003627ED" w:rsidRPr="00361047">
        <w:rPr>
          <w:rFonts w:ascii="Times New Roman" w:hAnsi="Times New Roman" w:cs="Times New Roman"/>
          <w:lang w:val="it-IT"/>
        </w:rPr>
        <w:t>TUE,</w:t>
      </w:r>
      <w:r w:rsidR="00943E3E" w:rsidRPr="00361047">
        <w:rPr>
          <w:rFonts w:ascii="Times New Roman" w:hAnsi="Times New Roman" w:cs="Times New Roman"/>
          <w:lang w:val="it-IT"/>
        </w:rPr>
        <w:t xml:space="preserve"> la Corte ha</w:t>
      </w:r>
      <w:r w:rsidR="00465E72" w:rsidRPr="00361047">
        <w:rPr>
          <w:rFonts w:ascii="Times New Roman" w:hAnsi="Times New Roman" w:cs="Times New Roman"/>
          <w:lang w:val="it-IT"/>
        </w:rPr>
        <w:t xml:space="preserve"> </w:t>
      </w:r>
      <w:r w:rsidR="00AE5ED0" w:rsidRPr="00361047">
        <w:rPr>
          <w:rFonts w:ascii="Times New Roman" w:hAnsi="Times New Roman" w:cs="Times New Roman"/>
          <w:lang w:val="it-IT"/>
        </w:rPr>
        <w:t>sottolineato che essi</w:t>
      </w:r>
      <w:r w:rsidR="00943E3E" w:rsidRPr="00361047">
        <w:rPr>
          <w:rFonts w:ascii="Times New Roman" w:hAnsi="Times New Roman" w:cs="Times New Roman"/>
          <w:lang w:val="it-IT"/>
        </w:rPr>
        <w:t xml:space="preserve"> devono rispettare i principi di equivalenza e di effettività</w:t>
      </w:r>
      <w:r w:rsidR="00AE5ED0" w:rsidRPr="00361047">
        <w:rPr>
          <w:rFonts w:ascii="Times New Roman" w:hAnsi="Times New Roman" w:cs="Times New Roman"/>
          <w:lang w:val="it-IT"/>
        </w:rPr>
        <w:t>, ribadendo quanto ormai affermato con giurisprudenza costante</w:t>
      </w:r>
      <w:r w:rsidR="00AE5ED0" w:rsidRPr="00361047">
        <w:rPr>
          <w:rStyle w:val="Rimandonotaapidipagina"/>
          <w:rFonts w:ascii="Times New Roman" w:hAnsi="Times New Roman" w:cs="Times New Roman"/>
          <w:lang w:val="it-IT"/>
        </w:rPr>
        <w:footnoteReference w:id="24"/>
      </w:r>
      <w:r w:rsidR="00943E3E" w:rsidRPr="00361047">
        <w:rPr>
          <w:rFonts w:ascii="Times New Roman" w:hAnsi="Times New Roman" w:cs="Times New Roman"/>
          <w:lang w:val="it-IT"/>
        </w:rPr>
        <w:t>.</w:t>
      </w:r>
    </w:p>
    <w:p w14:paraId="21A2CDFB" w14:textId="11F0DE2B" w:rsidR="00DB247A" w:rsidRPr="00361047" w:rsidRDefault="004E4FA1"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 xml:space="preserve">Circa l’effettività, la Corte non ritiene che da tale principio emergano obblighi in capo agli Stati relativamente ai ricorsi giurisdizionali di seconda istanza. </w:t>
      </w:r>
      <w:r w:rsidR="00CA0DA9" w:rsidRPr="00361047">
        <w:rPr>
          <w:rFonts w:ascii="Times New Roman" w:hAnsi="Times New Roman" w:cs="Times New Roman"/>
          <w:lang w:val="it-IT"/>
        </w:rPr>
        <w:t xml:space="preserve">In particolare, secondo la Corte, </w:t>
      </w:r>
      <w:r w:rsidR="00E42264" w:rsidRPr="00361047">
        <w:rPr>
          <w:rFonts w:ascii="Times New Roman" w:hAnsi="Times New Roman" w:cs="Times New Roman"/>
          <w:lang w:val="it-IT"/>
        </w:rPr>
        <w:t>esso non determina, ne</w:t>
      </w:r>
      <w:r w:rsidR="004935E2" w:rsidRPr="00361047">
        <w:rPr>
          <w:rFonts w:ascii="Times New Roman" w:hAnsi="Times New Roman" w:cs="Times New Roman"/>
          <w:lang w:val="it-IT"/>
        </w:rPr>
        <w:t xml:space="preserve">l </w:t>
      </w:r>
      <w:r w:rsidR="00E42264" w:rsidRPr="00361047">
        <w:rPr>
          <w:rFonts w:ascii="Times New Roman" w:hAnsi="Times New Roman" w:cs="Times New Roman"/>
          <w:lang w:val="it-IT"/>
        </w:rPr>
        <w:t xml:space="preserve">caso di </w:t>
      </w:r>
      <w:r w:rsidR="00E42264" w:rsidRPr="00361047">
        <w:rPr>
          <w:rFonts w:ascii="Times New Roman" w:hAnsi="Times New Roman" w:cs="Times New Roman"/>
          <w:lang w:val="it-IT"/>
        </w:rPr>
        <w:lastRenderedPageBreak/>
        <w:t>specie, obblighi che vadano al di là di quelli derivanti dai diritti fondamentali, i</w:t>
      </w:r>
      <w:r w:rsidR="00CF6EF0" w:rsidRPr="00361047">
        <w:rPr>
          <w:rFonts w:ascii="Times New Roman" w:hAnsi="Times New Roman" w:cs="Times New Roman"/>
          <w:lang w:val="it-IT"/>
        </w:rPr>
        <w:t>n</w:t>
      </w:r>
      <w:r w:rsidR="004935E2" w:rsidRPr="00361047">
        <w:rPr>
          <w:rFonts w:ascii="Times New Roman" w:hAnsi="Times New Roman" w:cs="Times New Roman"/>
          <w:lang w:val="it-IT"/>
        </w:rPr>
        <w:t xml:space="preserve"> </w:t>
      </w:r>
      <w:r w:rsidR="00E42264" w:rsidRPr="00361047">
        <w:rPr>
          <w:rFonts w:ascii="Times New Roman" w:hAnsi="Times New Roman" w:cs="Times New Roman"/>
          <w:lang w:val="it-IT"/>
        </w:rPr>
        <w:t>particolare del diritto a una tutela giurisdizionale effettiva, garantiti dalla Carta</w:t>
      </w:r>
      <w:r w:rsidR="00AE5ED0" w:rsidRPr="00361047">
        <w:rPr>
          <w:rFonts w:ascii="Times New Roman" w:hAnsi="Times New Roman" w:cs="Times New Roman"/>
          <w:lang w:val="it-IT"/>
        </w:rPr>
        <w:t>:</w:t>
      </w:r>
      <w:r w:rsidR="00CF6EF0" w:rsidRPr="00361047">
        <w:rPr>
          <w:rFonts w:ascii="Times New Roman" w:hAnsi="Times New Roman" w:cs="Times New Roman"/>
          <w:lang w:val="it-IT"/>
        </w:rPr>
        <w:t xml:space="preserve"> “</w:t>
      </w:r>
      <w:r w:rsidR="00E42264" w:rsidRPr="00361047">
        <w:rPr>
          <w:rFonts w:ascii="Times New Roman" w:hAnsi="Times New Roman" w:cs="Times New Roman"/>
          <w:lang w:val="it-IT"/>
        </w:rPr>
        <w:t>Orbene, dato</w:t>
      </w:r>
      <w:r w:rsidR="004935E2" w:rsidRPr="00361047">
        <w:rPr>
          <w:rFonts w:ascii="Times New Roman" w:hAnsi="Times New Roman" w:cs="Times New Roman"/>
          <w:lang w:val="it-IT"/>
        </w:rPr>
        <w:t xml:space="preserve"> </w:t>
      </w:r>
      <w:r w:rsidR="00E42264" w:rsidRPr="00361047">
        <w:rPr>
          <w:rFonts w:ascii="Times New Roman" w:hAnsi="Times New Roman" w:cs="Times New Roman"/>
          <w:lang w:val="it-IT"/>
        </w:rPr>
        <w:t>che, come risulta dal punto 36 della presente sentenza, l’articolo 47 della Carta, letto alla luc</w:t>
      </w:r>
      <w:r w:rsidR="004935E2" w:rsidRPr="00361047">
        <w:rPr>
          <w:rFonts w:ascii="Times New Roman" w:hAnsi="Times New Roman" w:cs="Times New Roman"/>
          <w:lang w:val="it-IT"/>
        </w:rPr>
        <w:t xml:space="preserve">e </w:t>
      </w:r>
      <w:r w:rsidR="00E42264" w:rsidRPr="00361047">
        <w:rPr>
          <w:rFonts w:ascii="Times New Roman" w:hAnsi="Times New Roman" w:cs="Times New Roman"/>
          <w:lang w:val="it-IT"/>
        </w:rPr>
        <w:t>delle garanzie contenute all’articolo 18 e all’articolo 19, paragrafo 2, della medesima, impone</w:t>
      </w:r>
      <w:r w:rsidR="004935E2" w:rsidRPr="00361047">
        <w:rPr>
          <w:rFonts w:ascii="Times New Roman" w:hAnsi="Times New Roman" w:cs="Times New Roman"/>
          <w:lang w:val="it-IT"/>
        </w:rPr>
        <w:t xml:space="preserve"> </w:t>
      </w:r>
      <w:r w:rsidR="00E42264" w:rsidRPr="00361047">
        <w:rPr>
          <w:rFonts w:ascii="Times New Roman" w:hAnsi="Times New Roman" w:cs="Times New Roman"/>
          <w:lang w:val="it-IT"/>
        </w:rPr>
        <w:t>soltanto che un richiedente protezione internazionale, la cui domanda sia stata respinta, possa</w:t>
      </w:r>
      <w:r w:rsidR="004935E2" w:rsidRPr="00361047">
        <w:rPr>
          <w:rFonts w:ascii="Times New Roman" w:hAnsi="Times New Roman" w:cs="Times New Roman"/>
          <w:lang w:val="it-IT"/>
        </w:rPr>
        <w:t xml:space="preserve"> </w:t>
      </w:r>
      <w:r w:rsidR="00E42264" w:rsidRPr="00361047">
        <w:rPr>
          <w:rFonts w:ascii="Times New Roman" w:hAnsi="Times New Roman" w:cs="Times New Roman"/>
          <w:lang w:val="it-IT"/>
        </w:rPr>
        <w:t>far valere i suoi diritti in maniera effettiva dinanzi a un organo giurisdizionale, il mero fatto che</w:t>
      </w:r>
      <w:r w:rsidR="004935E2" w:rsidRPr="00361047">
        <w:rPr>
          <w:rFonts w:ascii="Times New Roman" w:hAnsi="Times New Roman" w:cs="Times New Roman"/>
          <w:lang w:val="it-IT"/>
        </w:rPr>
        <w:t xml:space="preserve"> </w:t>
      </w:r>
      <w:r w:rsidR="00E42264" w:rsidRPr="00361047">
        <w:rPr>
          <w:rFonts w:ascii="Times New Roman" w:hAnsi="Times New Roman" w:cs="Times New Roman"/>
          <w:lang w:val="it-IT"/>
        </w:rPr>
        <w:t>un grado di giudizio aggiuntivo, previsto dal diritto nazionale, non abbia effetto sospensivo</w:t>
      </w:r>
      <w:r w:rsidR="004935E2" w:rsidRPr="00361047">
        <w:rPr>
          <w:rFonts w:ascii="Times New Roman" w:hAnsi="Times New Roman" w:cs="Times New Roman"/>
          <w:lang w:val="it-IT"/>
        </w:rPr>
        <w:t xml:space="preserve"> </w:t>
      </w:r>
      <w:r w:rsidR="00E42264" w:rsidRPr="00361047">
        <w:rPr>
          <w:rFonts w:ascii="Times New Roman" w:hAnsi="Times New Roman" w:cs="Times New Roman"/>
          <w:lang w:val="it-IT"/>
        </w:rPr>
        <w:t>automatico non permette, di per sé solo, di ritenere che il principio di effettività sia stato violato</w:t>
      </w:r>
      <w:r w:rsidR="00816C83" w:rsidRPr="00361047">
        <w:rPr>
          <w:rStyle w:val="Rimandonotaapidipagina"/>
          <w:rFonts w:ascii="Times New Roman" w:hAnsi="Times New Roman" w:cs="Times New Roman"/>
          <w:lang w:val="it-IT"/>
        </w:rPr>
        <w:footnoteReference w:id="25"/>
      </w:r>
      <w:r w:rsidR="00816C83" w:rsidRPr="00361047">
        <w:rPr>
          <w:rFonts w:ascii="Times New Roman" w:hAnsi="Times New Roman" w:cs="Times New Roman"/>
          <w:lang w:val="it-IT"/>
        </w:rPr>
        <w:t>.</w:t>
      </w:r>
      <w:r w:rsidR="004935E2" w:rsidRPr="00361047">
        <w:rPr>
          <w:rFonts w:ascii="Times New Roman" w:hAnsi="Times New Roman" w:cs="Times New Roman"/>
          <w:lang w:val="it-IT"/>
        </w:rPr>
        <w:t xml:space="preserve"> </w:t>
      </w:r>
    </w:p>
    <w:p w14:paraId="0857E51D" w14:textId="1BB76D15" w:rsidR="007E3505" w:rsidRPr="00361047" w:rsidRDefault="00CF6EF0"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 xml:space="preserve">Anche in punto di equivalenza la Corte offre un’analoga e scarna argomentazione. </w:t>
      </w:r>
      <w:r w:rsidR="00932EBE" w:rsidRPr="00361047">
        <w:rPr>
          <w:rFonts w:ascii="Times New Roman" w:hAnsi="Times New Roman" w:cs="Times New Roman"/>
          <w:lang w:val="it-IT"/>
        </w:rPr>
        <w:t>Dopo avere ribadito la vigenza del principio e la sua rilevanza nella valutazione dei rimedi giurisdizionali nazionali, la Corte liquida bruscamente e chiude affermando che è i</w:t>
      </w:r>
      <w:r w:rsidR="007E3505" w:rsidRPr="00361047">
        <w:rPr>
          <w:rFonts w:ascii="Times New Roman" w:hAnsi="Times New Roman" w:cs="Times New Roman"/>
          <w:lang w:val="it-IT"/>
        </w:rPr>
        <w:t>l giudice nazionale che deve valutare se c’è violazione del principio di equivalenza</w:t>
      </w:r>
      <w:r w:rsidR="00932EBE" w:rsidRPr="00361047">
        <w:rPr>
          <w:rFonts w:ascii="Times New Roman" w:hAnsi="Times New Roman" w:cs="Times New Roman"/>
          <w:lang w:val="it-IT"/>
        </w:rPr>
        <w:t xml:space="preserve">, essendo quello meglio collocato per poter </w:t>
      </w:r>
      <w:r w:rsidR="0094061C" w:rsidRPr="00361047">
        <w:rPr>
          <w:rFonts w:ascii="Times New Roman" w:hAnsi="Times New Roman" w:cs="Times New Roman"/>
          <w:lang w:val="it-IT"/>
        </w:rPr>
        <w:t>apprezzare la somiglianza dei ricorsi quanto ad oggetto, ca</w:t>
      </w:r>
      <w:r w:rsidR="003B6CB6" w:rsidRPr="00361047">
        <w:rPr>
          <w:rFonts w:ascii="Times New Roman" w:hAnsi="Times New Roman" w:cs="Times New Roman"/>
          <w:lang w:val="it-IT"/>
        </w:rPr>
        <w:t>u</w:t>
      </w:r>
      <w:r w:rsidR="0094061C" w:rsidRPr="00361047">
        <w:rPr>
          <w:rFonts w:ascii="Times New Roman" w:hAnsi="Times New Roman" w:cs="Times New Roman"/>
          <w:lang w:val="it-IT"/>
        </w:rPr>
        <w:t>sa ed elementi essenziali</w:t>
      </w:r>
      <w:r w:rsidR="0061683E" w:rsidRPr="00361047">
        <w:rPr>
          <w:rFonts w:ascii="Times New Roman" w:hAnsi="Times New Roman" w:cs="Times New Roman"/>
          <w:lang w:val="it-IT"/>
        </w:rPr>
        <w:t xml:space="preserve"> (par. 43-44)</w:t>
      </w:r>
      <w:r w:rsidR="003B6CB6" w:rsidRPr="00361047">
        <w:rPr>
          <w:rFonts w:ascii="Times New Roman" w:hAnsi="Times New Roman" w:cs="Times New Roman"/>
          <w:lang w:val="it-IT"/>
        </w:rPr>
        <w:t xml:space="preserve">. Tuttavia, nel caso di specie il giudice nazionale aveva ampiamente argomentato per dimostrare </w:t>
      </w:r>
      <w:r w:rsidR="00763CF0" w:rsidRPr="00361047">
        <w:rPr>
          <w:rFonts w:ascii="Times New Roman" w:hAnsi="Times New Roman" w:cs="Times New Roman"/>
          <w:lang w:val="it-IT"/>
        </w:rPr>
        <w:t xml:space="preserve">sia </w:t>
      </w:r>
      <w:r w:rsidR="008B1566" w:rsidRPr="00361047">
        <w:rPr>
          <w:rFonts w:ascii="Times New Roman" w:hAnsi="Times New Roman" w:cs="Times New Roman"/>
          <w:lang w:val="it-IT"/>
        </w:rPr>
        <w:t xml:space="preserve">quali fossero i rimedi analoghi basati sulla violazione del diritto nazionale </w:t>
      </w:r>
      <w:r w:rsidR="00763CF0" w:rsidRPr="00361047">
        <w:rPr>
          <w:rFonts w:ascii="Times New Roman" w:hAnsi="Times New Roman" w:cs="Times New Roman"/>
          <w:lang w:val="it-IT"/>
        </w:rPr>
        <w:t xml:space="preserve">sia l’irragionevole </w:t>
      </w:r>
      <w:r w:rsidR="006D0D49" w:rsidRPr="00361047">
        <w:rPr>
          <w:rFonts w:ascii="Times New Roman" w:hAnsi="Times New Roman" w:cs="Times New Roman"/>
          <w:lang w:val="it-IT"/>
        </w:rPr>
        <w:t xml:space="preserve">e più sfavorevole </w:t>
      </w:r>
      <w:r w:rsidR="00763CF0" w:rsidRPr="00361047">
        <w:rPr>
          <w:rFonts w:ascii="Times New Roman" w:hAnsi="Times New Roman" w:cs="Times New Roman"/>
          <w:lang w:val="it-IT"/>
        </w:rPr>
        <w:t>differenza di trattamento</w:t>
      </w:r>
      <w:r w:rsidR="006D0D49" w:rsidRPr="00361047">
        <w:rPr>
          <w:rFonts w:ascii="Times New Roman" w:hAnsi="Times New Roman" w:cs="Times New Roman"/>
          <w:lang w:val="it-IT"/>
        </w:rPr>
        <w:t xml:space="preserve"> introdotta per il rimedio giurisdizionale di derivazione UE. </w:t>
      </w:r>
      <w:r w:rsidR="006F122A" w:rsidRPr="00361047">
        <w:rPr>
          <w:rFonts w:ascii="Times New Roman" w:hAnsi="Times New Roman" w:cs="Times New Roman"/>
          <w:lang w:val="it-IT"/>
        </w:rPr>
        <w:t>La Corte</w:t>
      </w:r>
      <w:r w:rsidR="00AE5ED0" w:rsidRPr="00361047">
        <w:rPr>
          <w:rFonts w:ascii="Times New Roman" w:hAnsi="Times New Roman" w:cs="Times New Roman"/>
          <w:lang w:val="it-IT"/>
        </w:rPr>
        <w:t>, invece,</w:t>
      </w:r>
      <w:r w:rsidR="006F122A" w:rsidRPr="00361047">
        <w:rPr>
          <w:rFonts w:ascii="Times New Roman" w:hAnsi="Times New Roman" w:cs="Times New Roman"/>
          <w:lang w:val="it-IT"/>
        </w:rPr>
        <w:t xml:space="preserve"> </w:t>
      </w:r>
      <w:r w:rsidR="00816C83" w:rsidRPr="00361047">
        <w:rPr>
          <w:rFonts w:ascii="Times New Roman" w:hAnsi="Times New Roman" w:cs="Times New Roman"/>
          <w:lang w:val="it-IT"/>
        </w:rPr>
        <w:t>“</w:t>
      </w:r>
      <w:r w:rsidR="006F122A" w:rsidRPr="00361047">
        <w:rPr>
          <w:rFonts w:ascii="Times New Roman" w:hAnsi="Times New Roman" w:cs="Times New Roman"/>
          <w:lang w:val="it-IT"/>
        </w:rPr>
        <w:t>non risponde</w:t>
      </w:r>
      <w:r w:rsidR="00816C83" w:rsidRPr="00361047">
        <w:rPr>
          <w:rFonts w:ascii="Times New Roman" w:hAnsi="Times New Roman" w:cs="Times New Roman"/>
          <w:lang w:val="it-IT"/>
        </w:rPr>
        <w:t>”</w:t>
      </w:r>
      <w:r w:rsidR="006F122A" w:rsidRPr="00361047">
        <w:rPr>
          <w:rFonts w:ascii="Times New Roman" w:hAnsi="Times New Roman" w:cs="Times New Roman"/>
          <w:lang w:val="it-IT"/>
        </w:rPr>
        <w:t xml:space="preserve"> sul punto al giudice nazionale che pure aveva offerto alla Corte tutte le argomen</w:t>
      </w:r>
      <w:r w:rsidR="00816C83" w:rsidRPr="00361047">
        <w:rPr>
          <w:rFonts w:ascii="Times New Roman" w:hAnsi="Times New Roman" w:cs="Times New Roman"/>
          <w:lang w:val="it-IT"/>
        </w:rPr>
        <w:t>tazioni possibili per consentirle di maturare un’autonoma valutazione</w:t>
      </w:r>
      <w:r w:rsidR="006F122A" w:rsidRPr="00361047">
        <w:rPr>
          <w:rFonts w:ascii="Times New Roman" w:hAnsi="Times New Roman" w:cs="Times New Roman"/>
          <w:lang w:val="it-IT"/>
        </w:rPr>
        <w:t>.</w:t>
      </w:r>
      <w:r w:rsidR="006D0D49" w:rsidRPr="00361047">
        <w:rPr>
          <w:rFonts w:ascii="Times New Roman" w:hAnsi="Times New Roman" w:cs="Times New Roman"/>
          <w:lang w:val="it-IT"/>
        </w:rPr>
        <w:t xml:space="preserve"> </w:t>
      </w:r>
    </w:p>
    <w:p w14:paraId="1751B2FB" w14:textId="0B6D2DF5" w:rsidR="000F2387" w:rsidRPr="00361047" w:rsidRDefault="00C60696"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 xml:space="preserve">È molto </w:t>
      </w:r>
      <w:r w:rsidR="000D6B45" w:rsidRPr="00361047">
        <w:rPr>
          <w:rFonts w:ascii="Times New Roman" w:hAnsi="Times New Roman" w:cs="Times New Roman"/>
          <w:lang w:val="it-IT"/>
        </w:rPr>
        <w:t>probabile che questo sia dovuto alla circostanza che</w:t>
      </w:r>
      <w:r w:rsidR="008D4B9E" w:rsidRPr="00361047">
        <w:rPr>
          <w:rFonts w:ascii="Times New Roman" w:hAnsi="Times New Roman" w:cs="Times New Roman"/>
          <w:lang w:val="it-IT"/>
        </w:rPr>
        <w:t>, come già detto,</w:t>
      </w:r>
      <w:r w:rsidR="000D6B45" w:rsidRPr="00361047">
        <w:rPr>
          <w:rFonts w:ascii="Times New Roman" w:hAnsi="Times New Roman" w:cs="Times New Roman"/>
          <w:lang w:val="it-IT"/>
        </w:rPr>
        <w:t xml:space="preserve"> la Corte di giustizia abbia deciso il caso con</w:t>
      </w:r>
      <w:r w:rsidRPr="00361047">
        <w:rPr>
          <w:rFonts w:ascii="Times New Roman" w:hAnsi="Times New Roman" w:cs="Times New Roman"/>
          <w:lang w:val="it-IT"/>
        </w:rPr>
        <w:t xml:space="preserve"> procedura d’urgenza e con</w:t>
      </w:r>
      <w:r w:rsidR="000D6B45" w:rsidRPr="00361047">
        <w:rPr>
          <w:rFonts w:ascii="Times New Roman" w:hAnsi="Times New Roman" w:cs="Times New Roman"/>
          <w:lang w:val="it-IT"/>
        </w:rPr>
        <w:t xml:space="preserve"> un’ordinanza, rinviando </w:t>
      </w:r>
      <w:r w:rsidR="000D6B45" w:rsidRPr="00361047">
        <w:rPr>
          <w:rFonts w:ascii="Times New Roman" w:hAnsi="Times New Roman" w:cs="Times New Roman"/>
          <w:i/>
          <w:iCs/>
          <w:lang w:val="it-IT"/>
        </w:rPr>
        <w:t xml:space="preserve">per </w:t>
      </w:r>
      <w:proofErr w:type="spellStart"/>
      <w:r w:rsidR="000D6B45" w:rsidRPr="00361047">
        <w:rPr>
          <w:rFonts w:ascii="Times New Roman" w:hAnsi="Times New Roman" w:cs="Times New Roman"/>
          <w:i/>
          <w:iCs/>
          <w:lang w:val="it-IT"/>
        </w:rPr>
        <w:t>relationem</w:t>
      </w:r>
      <w:proofErr w:type="spellEnd"/>
      <w:r w:rsidR="000D6B45" w:rsidRPr="00361047">
        <w:rPr>
          <w:rFonts w:ascii="Times New Roman" w:hAnsi="Times New Roman" w:cs="Times New Roman"/>
          <w:lang w:val="it-IT"/>
        </w:rPr>
        <w:t xml:space="preserve"> alla sentenza “gemella” </w:t>
      </w:r>
      <w:r w:rsidR="008D4B9E" w:rsidRPr="00361047">
        <w:rPr>
          <w:rFonts w:ascii="Times New Roman" w:hAnsi="Times New Roman" w:cs="Times New Roman"/>
          <w:lang w:val="it-IT"/>
        </w:rPr>
        <w:t>originata sul rinvio del giudice olandese</w:t>
      </w:r>
      <w:r w:rsidR="000D6B45" w:rsidRPr="00361047">
        <w:rPr>
          <w:rFonts w:ascii="Times New Roman" w:hAnsi="Times New Roman" w:cs="Times New Roman"/>
          <w:lang w:val="it-IT"/>
        </w:rPr>
        <w:t xml:space="preserve">. Non si può non constatare che con questa tecnica decisoria, la Corte abbia mancato di considerare il punto sull’adeguatezza del rimedio processuale </w:t>
      </w:r>
      <w:r w:rsidR="009E7C9E" w:rsidRPr="00361047">
        <w:rPr>
          <w:rFonts w:ascii="Times New Roman" w:hAnsi="Times New Roman" w:cs="Times New Roman"/>
          <w:lang w:val="it-IT"/>
        </w:rPr>
        <w:t xml:space="preserve">interno </w:t>
      </w:r>
      <w:r w:rsidR="000D6B45" w:rsidRPr="00361047">
        <w:rPr>
          <w:rFonts w:ascii="Times New Roman" w:hAnsi="Times New Roman" w:cs="Times New Roman"/>
          <w:lang w:val="it-IT"/>
        </w:rPr>
        <w:t>alla luce del rispetto del principio di equivalenza</w:t>
      </w:r>
      <w:r w:rsidR="005F6207" w:rsidRPr="00361047">
        <w:rPr>
          <w:rFonts w:ascii="Times New Roman" w:hAnsi="Times New Roman" w:cs="Times New Roman"/>
          <w:lang w:val="it-IT"/>
        </w:rPr>
        <w:t xml:space="preserve">, mancando di considerare una parte consistente delle argomentazioni che il giudice nazionale aveva formulato nella sua articolata ordinanza. </w:t>
      </w:r>
    </w:p>
    <w:p w14:paraId="662469AB" w14:textId="1F119D91" w:rsidR="000D6B45" w:rsidRPr="00361047" w:rsidRDefault="000F2387"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 xml:space="preserve">Inoltre, la delicatezza delle questioni sottese a questo rinvio pregiudiziale </w:t>
      </w:r>
      <w:r w:rsidR="00CD39C1" w:rsidRPr="00361047">
        <w:rPr>
          <w:rFonts w:ascii="Times New Roman" w:hAnsi="Times New Roman" w:cs="Times New Roman"/>
          <w:lang w:val="it-IT"/>
        </w:rPr>
        <w:t>sembrano ignorate dalla Corte di giustizia, lasciando “solo” il giudice nazionale nell’applicazione del principio di equivalenz</w:t>
      </w:r>
      <w:r w:rsidR="00EC3B9A" w:rsidRPr="00361047">
        <w:rPr>
          <w:rFonts w:ascii="Times New Roman" w:hAnsi="Times New Roman" w:cs="Times New Roman"/>
          <w:lang w:val="it-IT"/>
        </w:rPr>
        <w:t xml:space="preserve">a e nella </w:t>
      </w:r>
      <w:r w:rsidR="00C60696" w:rsidRPr="00361047">
        <w:rPr>
          <w:rFonts w:ascii="Times New Roman" w:hAnsi="Times New Roman" w:cs="Times New Roman"/>
          <w:lang w:val="it-IT"/>
        </w:rPr>
        <w:t xml:space="preserve">conseguente </w:t>
      </w:r>
      <w:r w:rsidR="00EC3B9A" w:rsidRPr="00361047">
        <w:rPr>
          <w:rFonts w:ascii="Times New Roman" w:hAnsi="Times New Roman" w:cs="Times New Roman"/>
          <w:lang w:val="it-IT"/>
        </w:rPr>
        <w:t>disapplicazione della norma nazionale considerata in contrasto con esso. Se</w:t>
      </w:r>
      <w:r w:rsidR="00C60696" w:rsidRPr="00361047">
        <w:rPr>
          <w:rFonts w:ascii="Times New Roman" w:hAnsi="Times New Roman" w:cs="Times New Roman"/>
          <w:lang w:val="it-IT"/>
        </w:rPr>
        <w:t>bbene</w:t>
      </w:r>
      <w:r w:rsidR="00EC3B9A" w:rsidRPr="00361047">
        <w:rPr>
          <w:rFonts w:ascii="Times New Roman" w:hAnsi="Times New Roman" w:cs="Times New Roman"/>
          <w:lang w:val="it-IT"/>
        </w:rPr>
        <w:t>, infatti, in astratto</w:t>
      </w:r>
      <w:r w:rsidR="00835E66" w:rsidRPr="00361047">
        <w:rPr>
          <w:rFonts w:ascii="Times New Roman" w:hAnsi="Times New Roman" w:cs="Times New Roman"/>
          <w:lang w:val="it-IT"/>
        </w:rPr>
        <w:t>,</w:t>
      </w:r>
      <w:r w:rsidR="00EC3B9A" w:rsidRPr="00361047">
        <w:rPr>
          <w:rFonts w:ascii="Times New Roman" w:hAnsi="Times New Roman" w:cs="Times New Roman"/>
          <w:lang w:val="it-IT"/>
        </w:rPr>
        <w:t xml:space="preserve"> il giudice nazionale </w:t>
      </w:r>
      <w:r w:rsidR="00835E66" w:rsidRPr="00361047">
        <w:rPr>
          <w:rFonts w:ascii="Times New Roman" w:hAnsi="Times New Roman" w:cs="Times New Roman"/>
          <w:lang w:val="it-IT"/>
        </w:rPr>
        <w:t>abbia</w:t>
      </w:r>
      <w:r w:rsidR="00EC3B9A" w:rsidRPr="00361047">
        <w:rPr>
          <w:rFonts w:ascii="Times New Roman" w:hAnsi="Times New Roman" w:cs="Times New Roman"/>
          <w:lang w:val="it-IT"/>
        </w:rPr>
        <w:t xml:space="preserve"> tutti i poteri per procedere ad una tale soluzione</w:t>
      </w:r>
      <w:r w:rsidR="008D7F13" w:rsidRPr="00361047">
        <w:rPr>
          <w:rFonts w:ascii="Times New Roman" w:hAnsi="Times New Roman" w:cs="Times New Roman"/>
          <w:lang w:val="it-IT"/>
        </w:rPr>
        <w:t>, in concreto talvolta questo può diventare difficile</w:t>
      </w:r>
      <w:r w:rsidR="00B622AD" w:rsidRPr="00361047">
        <w:rPr>
          <w:rFonts w:ascii="Times New Roman" w:hAnsi="Times New Roman" w:cs="Times New Roman"/>
          <w:lang w:val="it-IT"/>
        </w:rPr>
        <w:t>, anche in ragione dell’esposizione mediatica di talune materie come quella dell’immigrazione e dell’asilo.</w:t>
      </w:r>
      <w:r w:rsidR="00AB2E98" w:rsidRPr="00361047">
        <w:rPr>
          <w:rFonts w:ascii="Times New Roman" w:hAnsi="Times New Roman" w:cs="Times New Roman"/>
          <w:lang w:val="it-IT"/>
        </w:rPr>
        <w:t xml:space="preserve"> In altre parole, la disapplicazione di un</w:t>
      </w:r>
      <w:r w:rsidR="003202EA" w:rsidRPr="00361047">
        <w:rPr>
          <w:rFonts w:ascii="Times New Roman" w:hAnsi="Times New Roman" w:cs="Times New Roman"/>
          <w:lang w:val="it-IT"/>
        </w:rPr>
        <w:t xml:space="preserve">a parte essenziale dei </w:t>
      </w:r>
      <w:r w:rsidR="00AB2E98" w:rsidRPr="00361047">
        <w:rPr>
          <w:rFonts w:ascii="Times New Roman" w:hAnsi="Times New Roman" w:cs="Times New Roman"/>
          <w:lang w:val="it-IT"/>
        </w:rPr>
        <w:t>rimedi processual</w:t>
      </w:r>
      <w:r w:rsidR="003202EA" w:rsidRPr="00361047">
        <w:rPr>
          <w:rFonts w:ascii="Times New Roman" w:hAnsi="Times New Roman" w:cs="Times New Roman"/>
          <w:lang w:val="it-IT"/>
        </w:rPr>
        <w:t xml:space="preserve">i </w:t>
      </w:r>
      <w:r w:rsidR="00C60696" w:rsidRPr="00361047">
        <w:rPr>
          <w:rFonts w:ascii="Times New Roman" w:hAnsi="Times New Roman" w:cs="Times New Roman"/>
          <w:lang w:val="it-IT"/>
        </w:rPr>
        <w:t>nazionali</w:t>
      </w:r>
      <w:r w:rsidR="00AB2E98" w:rsidRPr="00361047">
        <w:rPr>
          <w:rFonts w:ascii="Times New Roman" w:hAnsi="Times New Roman" w:cs="Times New Roman"/>
          <w:lang w:val="it-IT"/>
        </w:rPr>
        <w:t>, introdott</w:t>
      </w:r>
      <w:r w:rsidR="003202EA" w:rsidRPr="00361047">
        <w:rPr>
          <w:rFonts w:ascii="Times New Roman" w:hAnsi="Times New Roman" w:cs="Times New Roman"/>
          <w:lang w:val="it-IT"/>
        </w:rPr>
        <w:t>a</w:t>
      </w:r>
      <w:r w:rsidR="00AB2E98" w:rsidRPr="00361047">
        <w:rPr>
          <w:rFonts w:ascii="Times New Roman" w:hAnsi="Times New Roman" w:cs="Times New Roman"/>
          <w:lang w:val="it-IT"/>
        </w:rPr>
        <w:t xml:space="preserve"> dal legislatore nell’ambito di una più ampia riforma de</w:t>
      </w:r>
      <w:r w:rsidR="003202EA" w:rsidRPr="00361047">
        <w:rPr>
          <w:rFonts w:ascii="Times New Roman" w:hAnsi="Times New Roman" w:cs="Times New Roman"/>
          <w:lang w:val="it-IT"/>
        </w:rPr>
        <w:t>i rimedi giurisdizionali in materia di asilo</w:t>
      </w:r>
      <w:r w:rsidR="002C7DA9" w:rsidRPr="00361047">
        <w:rPr>
          <w:rFonts w:ascii="Times New Roman" w:hAnsi="Times New Roman" w:cs="Times New Roman"/>
          <w:lang w:val="it-IT"/>
        </w:rPr>
        <w:t xml:space="preserve">, difficilmente può essere effettuata da un giudice nazionale “solo” in base all’interpretazione del principio di equivalenza. Tantopiù che </w:t>
      </w:r>
      <w:r w:rsidR="00A863E7" w:rsidRPr="00361047">
        <w:rPr>
          <w:rFonts w:ascii="Times New Roman" w:hAnsi="Times New Roman" w:cs="Times New Roman"/>
          <w:lang w:val="it-IT"/>
        </w:rPr>
        <w:t xml:space="preserve">la mancanza di </w:t>
      </w:r>
      <w:r w:rsidR="00A863E7" w:rsidRPr="00361047">
        <w:rPr>
          <w:rFonts w:ascii="Times New Roman" w:hAnsi="Times New Roman" w:cs="Times New Roman"/>
          <w:lang w:val="it-IT"/>
        </w:rPr>
        <w:lastRenderedPageBreak/>
        <w:t xml:space="preserve">considerazione da parte della Corte di giustizia degli argomenti sottoposti dal </w:t>
      </w:r>
      <w:r w:rsidR="002C7DA9" w:rsidRPr="00361047">
        <w:rPr>
          <w:rFonts w:ascii="Times New Roman" w:hAnsi="Times New Roman" w:cs="Times New Roman"/>
          <w:lang w:val="it-IT"/>
        </w:rPr>
        <w:t>giudice,</w:t>
      </w:r>
      <w:r w:rsidR="005530FB" w:rsidRPr="00361047">
        <w:rPr>
          <w:rFonts w:ascii="Times New Roman" w:hAnsi="Times New Roman" w:cs="Times New Roman"/>
          <w:lang w:val="it-IT"/>
        </w:rPr>
        <w:t xml:space="preserve"> avrebbe potuto prestare il fianco </w:t>
      </w:r>
      <w:r w:rsidR="002C7DA9" w:rsidRPr="00361047">
        <w:rPr>
          <w:rFonts w:ascii="Times New Roman" w:hAnsi="Times New Roman" w:cs="Times New Roman"/>
          <w:lang w:val="it-IT"/>
        </w:rPr>
        <w:t>a strumentalizzazioni nel senso della ritenuta irrilevanza degli stessi da parte della Corte di giustizia.</w:t>
      </w:r>
    </w:p>
    <w:p w14:paraId="2FFA58BD" w14:textId="4B94704C" w:rsidR="005530FB" w:rsidRPr="00361047" w:rsidRDefault="00B52DCE"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L</w:t>
      </w:r>
      <w:r w:rsidR="00355844" w:rsidRPr="00361047">
        <w:rPr>
          <w:rFonts w:ascii="Times New Roman" w:hAnsi="Times New Roman" w:cs="Times New Roman"/>
          <w:lang w:val="it-IT"/>
        </w:rPr>
        <w:t xml:space="preserve">’immigrazione e l’asilo </w:t>
      </w:r>
      <w:r w:rsidRPr="00361047">
        <w:rPr>
          <w:rFonts w:ascii="Times New Roman" w:hAnsi="Times New Roman" w:cs="Times New Roman"/>
          <w:lang w:val="it-IT"/>
        </w:rPr>
        <w:t xml:space="preserve">sono </w:t>
      </w:r>
      <w:r w:rsidR="005530FB" w:rsidRPr="00361047">
        <w:rPr>
          <w:rFonts w:ascii="Times New Roman" w:hAnsi="Times New Roman" w:cs="Times New Roman"/>
          <w:lang w:val="it-IT"/>
        </w:rPr>
        <w:t xml:space="preserve">settori politicamente molto sensibili, </w:t>
      </w:r>
      <w:r w:rsidRPr="00361047">
        <w:rPr>
          <w:rFonts w:ascii="Times New Roman" w:hAnsi="Times New Roman" w:cs="Times New Roman"/>
          <w:lang w:val="it-IT"/>
        </w:rPr>
        <w:t xml:space="preserve">dove </w:t>
      </w:r>
      <w:r w:rsidR="005530FB" w:rsidRPr="00361047">
        <w:rPr>
          <w:rFonts w:ascii="Times New Roman" w:hAnsi="Times New Roman" w:cs="Times New Roman"/>
          <w:lang w:val="it-IT"/>
        </w:rPr>
        <w:t>esiste una tensione tra legislativo e giudiziario, dato che il primo tende a ridurre progressivamente il livello di tutela dei d</w:t>
      </w:r>
      <w:r w:rsidR="007B25E0" w:rsidRPr="00361047">
        <w:rPr>
          <w:rFonts w:ascii="Times New Roman" w:hAnsi="Times New Roman" w:cs="Times New Roman"/>
          <w:lang w:val="it-IT"/>
        </w:rPr>
        <w:t xml:space="preserve">iritti oltre quanto ammesso dalle norme costituzionali e internazionali </w:t>
      </w:r>
      <w:r w:rsidRPr="00361047">
        <w:rPr>
          <w:rFonts w:ascii="Times New Roman" w:hAnsi="Times New Roman" w:cs="Times New Roman"/>
          <w:lang w:val="it-IT"/>
        </w:rPr>
        <w:t xml:space="preserve">ed </w:t>
      </w:r>
      <w:r w:rsidR="00D30894" w:rsidRPr="00361047">
        <w:rPr>
          <w:rFonts w:ascii="Times New Roman" w:hAnsi="Times New Roman" w:cs="Times New Roman"/>
          <w:lang w:val="it-IT"/>
        </w:rPr>
        <w:t>ai giudici compete la difficile opera di interpreta</w:t>
      </w:r>
      <w:r w:rsidR="00C60696" w:rsidRPr="00361047">
        <w:rPr>
          <w:rFonts w:ascii="Times New Roman" w:hAnsi="Times New Roman" w:cs="Times New Roman"/>
          <w:lang w:val="it-IT"/>
        </w:rPr>
        <w:t xml:space="preserve">re </w:t>
      </w:r>
      <w:r w:rsidR="0029102D" w:rsidRPr="00361047">
        <w:rPr>
          <w:rFonts w:ascii="Times New Roman" w:hAnsi="Times New Roman" w:cs="Times New Roman"/>
          <w:lang w:val="it-IT"/>
        </w:rPr>
        <w:t xml:space="preserve">le norme </w:t>
      </w:r>
      <w:r w:rsidR="00C60696" w:rsidRPr="00361047">
        <w:rPr>
          <w:rFonts w:ascii="Times New Roman" w:hAnsi="Times New Roman" w:cs="Times New Roman"/>
          <w:lang w:val="it-IT"/>
        </w:rPr>
        <w:t xml:space="preserve">di nuovo conio </w:t>
      </w:r>
      <w:r w:rsidR="00D900ED" w:rsidRPr="00361047">
        <w:rPr>
          <w:rFonts w:ascii="Times New Roman" w:hAnsi="Times New Roman" w:cs="Times New Roman"/>
          <w:lang w:val="it-IT"/>
        </w:rPr>
        <w:t>in modo conforme alla Costituzione e agli obblighi internazionali</w:t>
      </w:r>
      <w:r w:rsidR="00F96B0B" w:rsidRPr="00361047">
        <w:rPr>
          <w:rFonts w:ascii="Times New Roman" w:hAnsi="Times New Roman" w:cs="Times New Roman"/>
          <w:lang w:val="it-IT"/>
        </w:rPr>
        <w:t>, privilegiando l’interpretazione</w:t>
      </w:r>
      <w:r w:rsidR="00D30894" w:rsidRPr="00361047">
        <w:rPr>
          <w:rFonts w:ascii="Times New Roman" w:hAnsi="Times New Roman" w:cs="Times New Roman"/>
          <w:lang w:val="it-IT"/>
        </w:rPr>
        <w:t xml:space="preserve"> </w:t>
      </w:r>
      <w:r w:rsidR="00F96B0B" w:rsidRPr="00361047">
        <w:rPr>
          <w:rFonts w:ascii="Times New Roman" w:hAnsi="Times New Roman" w:cs="Times New Roman"/>
          <w:lang w:val="it-IT"/>
        </w:rPr>
        <w:t>più estensiva dei diritti fondamentali</w:t>
      </w:r>
      <w:r w:rsidR="005C2543" w:rsidRPr="00361047">
        <w:rPr>
          <w:rFonts w:ascii="Times New Roman" w:hAnsi="Times New Roman" w:cs="Times New Roman"/>
          <w:lang w:val="it-IT"/>
        </w:rPr>
        <w:t xml:space="preserve">. </w:t>
      </w:r>
      <w:r w:rsidR="00005A34" w:rsidRPr="00361047">
        <w:rPr>
          <w:rFonts w:ascii="Times New Roman" w:hAnsi="Times New Roman" w:cs="Times New Roman"/>
          <w:lang w:val="it-IT"/>
        </w:rPr>
        <w:t>In Italia questo ha determinato negli anni un continuo intervento correttivo del giudiziario sugli atti normativi di modifica del trattamento giuridico dello straniero</w:t>
      </w:r>
      <w:r w:rsidR="0009055A" w:rsidRPr="00361047">
        <w:rPr>
          <w:rFonts w:ascii="Times New Roman" w:hAnsi="Times New Roman" w:cs="Times New Roman"/>
          <w:lang w:val="it-IT"/>
        </w:rPr>
        <w:t>, con una tensione che è andata crescendo rag</w:t>
      </w:r>
      <w:r w:rsidR="00CB5D5F" w:rsidRPr="00361047">
        <w:rPr>
          <w:rFonts w:ascii="Times New Roman" w:hAnsi="Times New Roman" w:cs="Times New Roman"/>
          <w:lang w:val="it-IT"/>
        </w:rPr>
        <w:t xml:space="preserve">giungendo livelli sempre più elevati. </w:t>
      </w:r>
      <w:r w:rsidR="000B16B7" w:rsidRPr="00361047">
        <w:rPr>
          <w:rFonts w:ascii="Times New Roman" w:hAnsi="Times New Roman" w:cs="Times New Roman"/>
          <w:lang w:val="it-IT"/>
        </w:rPr>
        <w:t>Questo consente di comprendere che, s</w:t>
      </w:r>
      <w:r w:rsidR="0009055A" w:rsidRPr="00361047">
        <w:rPr>
          <w:rFonts w:ascii="Times New Roman" w:hAnsi="Times New Roman" w:cs="Times New Roman"/>
          <w:lang w:val="it-IT"/>
        </w:rPr>
        <w:t>ebbene la valutazione del rispetto del principio di equivalenza rientri tra i poteri del giudice</w:t>
      </w:r>
      <w:r w:rsidR="000B16B7" w:rsidRPr="00361047">
        <w:rPr>
          <w:rFonts w:ascii="Times New Roman" w:hAnsi="Times New Roman" w:cs="Times New Roman"/>
          <w:lang w:val="it-IT"/>
        </w:rPr>
        <w:t xml:space="preserve"> nazionale, in una </w:t>
      </w:r>
      <w:r w:rsidR="003E0A9C" w:rsidRPr="00361047">
        <w:rPr>
          <w:rFonts w:ascii="Times New Roman" w:hAnsi="Times New Roman" w:cs="Times New Roman"/>
          <w:lang w:val="it-IT"/>
        </w:rPr>
        <w:t xml:space="preserve">materia </w:t>
      </w:r>
      <w:r w:rsidR="00D65C31" w:rsidRPr="00361047">
        <w:rPr>
          <w:rFonts w:ascii="Times New Roman" w:hAnsi="Times New Roman" w:cs="Times New Roman"/>
          <w:lang w:val="it-IT"/>
        </w:rPr>
        <w:t xml:space="preserve">così </w:t>
      </w:r>
      <w:r w:rsidR="00972706" w:rsidRPr="00361047">
        <w:rPr>
          <w:rFonts w:ascii="Times New Roman" w:hAnsi="Times New Roman" w:cs="Times New Roman"/>
          <w:lang w:val="it-IT"/>
        </w:rPr>
        <w:t xml:space="preserve">caratterizzata da </w:t>
      </w:r>
      <w:r w:rsidR="00D65C31" w:rsidRPr="00361047">
        <w:rPr>
          <w:rFonts w:ascii="Times New Roman" w:hAnsi="Times New Roman" w:cs="Times New Roman"/>
          <w:lang w:val="it-IT"/>
        </w:rPr>
        <w:t xml:space="preserve">aspre </w:t>
      </w:r>
      <w:r w:rsidR="00972706" w:rsidRPr="00361047">
        <w:rPr>
          <w:rFonts w:ascii="Times New Roman" w:hAnsi="Times New Roman" w:cs="Times New Roman"/>
          <w:lang w:val="it-IT"/>
        </w:rPr>
        <w:t>divisioni ideologiche</w:t>
      </w:r>
      <w:r w:rsidR="000B16B7" w:rsidRPr="00361047">
        <w:rPr>
          <w:rFonts w:ascii="Times New Roman" w:hAnsi="Times New Roman" w:cs="Times New Roman"/>
          <w:lang w:val="it-IT"/>
        </w:rPr>
        <w:t xml:space="preserve">, il giudice potrebbe </w:t>
      </w:r>
      <w:r w:rsidR="00B33149" w:rsidRPr="00361047">
        <w:rPr>
          <w:rFonts w:ascii="Times New Roman" w:hAnsi="Times New Roman" w:cs="Times New Roman"/>
          <w:lang w:val="it-IT"/>
        </w:rPr>
        <w:t xml:space="preserve">voler evitare la </w:t>
      </w:r>
      <w:r w:rsidR="000B16B7" w:rsidRPr="00361047">
        <w:rPr>
          <w:rFonts w:ascii="Times New Roman" w:hAnsi="Times New Roman" w:cs="Times New Roman"/>
          <w:lang w:val="it-IT"/>
        </w:rPr>
        <w:t>disapplicazione della norma nazionale</w:t>
      </w:r>
      <w:r w:rsidR="00B33149" w:rsidRPr="00361047">
        <w:rPr>
          <w:rFonts w:ascii="Times New Roman" w:hAnsi="Times New Roman" w:cs="Times New Roman"/>
          <w:lang w:val="it-IT"/>
        </w:rPr>
        <w:t xml:space="preserve"> con effetti limitati al giudizio a quo</w:t>
      </w:r>
      <w:r w:rsidR="000B16B7" w:rsidRPr="00361047">
        <w:rPr>
          <w:rFonts w:ascii="Times New Roman" w:hAnsi="Times New Roman" w:cs="Times New Roman"/>
          <w:lang w:val="it-IT"/>
        </w:rPr>
        <w:t>, in mancanza di un principio espresso dalla Corte di giustizia</w:t>
      </w:r>
      <w:r w:rsidR="00B33149" w:rsidRPr="00361047">
        <w:rPr>
          <w:rFonts w:ascii="Times New Roman" w:hAnsi="Times New Roman" w:cs="Times New Roman"/>
          <w:lang w:val="it-IT"/>
        </w:rPr>
        <w:t>.</w:t>
      </w:r>
    </w:p>
    <w:p w14:paraId="424611F5" w14:textId="48BFD822" w:rsidR="0009055A" w:rsidRPr="00361047" w:rsidRDefault="00CB5D5F"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 xml:space="preserve">L’ordinanza della Corte di giustizia ignora tutti questi aspetti, tralascia di considerare l’impatto che talune sue pronunce possono avere a livello nazionale e, paradossalmente, vanifica quel principio di cooperazione tra giurisdizionale nazionale e Corte di giustizia che è il fondamento del rinvio pregiudiziale. Se un giudice che argomenta come ha fatto il giudice italiano nella sua ordinanza di rimessione si vede “ricevere” una pronuncia come quella della Corte nel caso </w:t>
      </w:r>
      <w:r w:rsidRPr="00361047">
        <w:rPr>
          <w:rFonts w:ascii="Times New Roman" w:hAnsi="Times New Roman" w:cs="Times New Roman"/>
          <w:i/>
          <w:lang w:val="it-IT"/>
        </w:rPr>
        <w:t>FR</w:t>
      </w:r>
      <w:r w:rsidRPr="00361047">
        <w:rPr>
          <w:rFonts w:ascii="Times New Roman" w:hAnsi="Times New Roman" w:cs="Times New Roman"/>
          <w:lang w:val="it-IT"/>
        </w:rPr>
        <w:t>, difficilmente potrà ritenere in futuro opportuno rivolgersi a Lussemburgo, privilegiando semmai altri strumenti come il rinvio alla Corte costituzionale.</w:t>
      </w:r>
    </w:p>
    <w:p w14:paraId="02D37A61" w14:textId="174CB142" w:rsidR="00CB5D5F" w:rsidRPr="00361047" w:rsidRDefault="00CB5D5F"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 xml:space="preserve">La mancanza di argomenti nel caso </w:t>
      </w:r>
      <w:r w:rsidRPr="00361047">
        <w:rPr>
          <w:rFonts w:ascii="Times New Roman" w:hAnsi="Times New Roman" w:cs="Times New Roman"/>
          <w:i/>
          <w:lang w:val="it-IT"/>
        </w:rPr>
        <w:t>FR</w:t>
      </w:r>
      <w:r w:rsidRPr="00361047">
        <w:rPr>
          <w:rFonts w:ascii="Times New Roman" w:hAnsi="Times New Roman" w:cs="Times New Roman"/>
          <w:lang w:val="it-IT"/>
        </w:rPr>
        <w:t xml:space="preserve"> sul punto del rispetto del principio di equivalenza spicca anche al confronto con altre pronunce della Corte di giustizia emesse sul medesimo principio</w:t>
      </w:r>
      <w:r w:rsidR="00C60696" w:rsidRPr="00361047">
        <w:rPr>
          <w:rStyle w:val="Rimandonotaapidipagina"/>
          <w:rFonts w:ascii="Times New Roman" w:hAnsi="Times New Roman" w:cs="Times New Roman"/>
          <w:lang w:val="it-IT"/>
        </w:rPr>
        <w:footnoteReference w:id="26"/>
      </w:r>
      <w:r w:rsidRPr="00361047">
        <w:rPr>
          <w:rFonts w:ascii="Times New Roman" w:hAnsi="Times New Roman" w:cs="Times New Roman"/>
          <w:lang w:val="it-IT"/>
        </w:rPr>
        <w:t xml:space="preserve">. </w:t>
      </w:r>
      <w:r w:rsidR="00B01F09" w:rsidRPr="00361047">
        <w:rPr>
          <w:rFonts w:ascii="Times New Roman" w:hAnsi="Times New Roman" w:cs="Times New Roman"/>
          <w:lang w:val="it-IT"/>
        </w:rPr>
        <w:t xml:space="preserve">Pur nel riconoscimento di un certo margine di apprezzamento in capo alla Corte sul se e come affrontare </w:t>
      </w:r>
      <w:r w:rsidR="00C60696" w:rsidRPr="00361047">
        <w:rPr>
          <w:rFonts w:ascii="Times New Roman" w:hAnsi="Times New Roman" w:cs="Times New Roman"/>
          <w:lang w:val="it-IT"/>
        </w:rPr>
        <w:t>le singole questioni ad essa sottoposte dai giudici nazionali</w:t>
      </w:r>
      <w:r w:rsidR="00B01F09" w:rsidRPr="00361047">
        <w:rPr>
          <w:rFonts w:ascii="Times New Roman" w:hAnsi="Times New Roman" w:cs="Times New Roman"/>
          <w:lang w:val="it-IT"/>
        </w:rPr>
        <w:t>, sarebbe comunque auspicabile che la Corte garantisse una certa coerenza nel modo in cui valuta l’adeguatezza dei rimedi giurisdizionali nazionali. Altrimenti, l’impressione che se ne ricava è che in quei se</w:t>
      </w:r>
      <w:r w:rsidR="00C60696" w:rsidRPr="00361047">
        <w:rPr>
          <w:rFonts w:ascii="Times New Roman" w:hAnsi="Times New Roman" w:cs="Times New Roman"/>
          <w:lang w:val="it-IT"/>
        </w:rPr>
        <w:t>ttori nei quali tale esame manchi, la Corte reputi</w:t>
      </w:r>
      <w:r w:rsidR="00B01F09" w:rsidRPr="00361047">
        <w:rPr>
          <w:rFonts w:ascii="Times New Roman" w:hAnsi="Times New Roman" w:cs="Times New Roman"/>
          <w:lang w:val="it-IT"/>
        </w:rPr>
        <w:t xml:space="preserve"> non necessario intervenire, lasciando più ampio spazio ai giudici nazionali e, più in generale, agli Stati attenuando i vincoli derivanti dall’Unione europea.</w:t>
      </w:r>
    </w:p>
    <w:p w14:paraId="20DA4DF5" w14:textId="76EB4CF9" w:rsidR="00B01F09" w:rsidRPr="00361047" w:rsidRDefault="00B01F09" w:rsidP="00806AD2">
      <w:pPr>
        <w:spacing w:after="0" w:line="240" w:lineRule="auto"/>
        <w:ind w:firstLine="567"/>
        <w:contextualSpacing/>
        <w:jc w:val="both"/>
        <w:rPr>
          <w:rFonts w:ascii="Times New Roman" w:hAnsi="Times New Roman" w:cs="Times New Roman"/>
          <w:lang w:val="it-IT"/>
        </w:rPr>
      </w:pPr>
      <w:r w:rsidRPr="00361047">
        <w:rPr>
          <w:rFonts w:ascii="Times New Roman" w:hAnsi="Times New Roman" w:cs="Times New Roman"/>
          <w:lang w:val="it-IT"/>
        </w:rPr>
        <w:t>Il risultato è un’attenuazione del principio della tutela giurisdizionale effettiva, confermando quel trend ricorrente circa la riduzione del livello dei diritti fondamentali nel settore del diritto degli stranieri.</w:t>
      </w:r>
    </w:p>
    <w:p w14:paraId="1C356BD6" w14:textId="2FB0E5FC" w:rsidR="002D6524" w:rsidRPr="00361047" w:rsidRDefault="002D6524" w:rsidP="00806AD2">
      <w:pPr>
        <w:autoSpaceDE w:val="0"/>
        <w:autoSpaceDN w:val="0"/>
        <w:adjustRightInd w:val="0"/>
        <w:spacing w:after="0" w:line="240" w:lineRule="auto"/>
        <w:jc w:val="both"/>
        <w:rPr>
          <w:rFonts w:ascii="Times New Roman" w:hAnsi="Times New Roman" w:cs="Times New Roman"/>
          <w:lang w:val="it-IT"/>
        </w:rPr>
      </w:pPr>
    </w:p>
    <w:p w14:paraId="792F13FE" w14:textId="627D188C" w:rsidR="00DB247A" w:rsidRPr="00361047" w:rsidRDefault="00DB247A" w:rsidP="00806AD2">
      <w:pPr>
        <w:pStyle w:val="Paragrafoelenco"/>
        <w:numPr>
          <w:ilvl w:val="0"/>
          <w:numId w:val="4"/>
        </w:numPr>
        <w:spacing w:after="0" w:line="240" w:lineRule="auto"/>
        <w:jc w:val="both"/>
        <w:rPr>
          <w:rFonts w:ascii="Times New Roman" w:hAnsi="Times New Roman" w:cs="Times New Roman"/>
          <w:b/>
          <w:lang w:val="it-IT"/>
        </w:rPr>
      </w:pPr>
      <w:r w:rsidRPr="00361047">
        <w:rPr>
          <w:rFonts w:ascii="Times New Roman" w:hAnsi="Times New Roman" w:cs="Times New Roman"/>
          <w:b/>
          <w:lang w:val="it-IT"/>
        </w:rPr>
        <w:lastRenderedPageBreak/>
        <w:t>Lo standard di tutela del diritto di asilo tra Convenzione di Ginevra, Diritto UE e CEDU</w:t>
      </w:r>
    </w:p>
    <w:p w14:paraId="71684722" w14:textId="5D33C0EF" w:rsidR="00DB247A" w:rsidRPr="00361047" w:rsidRDefault="001347CB" w:rsidP="00806AD2">
      <w:pPr>
        <w:spacing w:after="0" w:line="240" w:lineRule="auto"/>
        <w:ind w:firstLine="708"/>
        <w:jc w:val="both"/>
        <w:rPr>
          <w:rFonts w:ascii="Times New Roman" w:hAnsi="Times New Roman" w:cs="Times New Roman"/>
          <w:lang w:val="it-IT"/>
        </w:rPr>
      </w:pPr>
      <w:r w:rsidRPr="00361047">
        <w:rPr>
          <w:rFonts w:ascii="Times New Roman" w:hAnsi="Times New Roman" w:cs="Times New Roman"/>
          <w:lang w:val="it-IT"/>
        </w:rPr>
        <w:t xml:space="preserve">Specifiche considerazioni devono essere svolte </w:t>
      </w:r>
      <w:r w:rsidR="00DB247A" w:rsidRPr="00361047">
        <w:rPr>
          <w:rFonts w:ascii="Times New Roman" w:hAnsi="Times New Roman" w:cs="Times New Roman"/>
          <w:lang w:val="it-IT"/>
        </w:rPr>
        <w:t xml:space="preserve">anche </w:t>
      </w:r>
      <w:r w:rsidRPr="00361047">
        <w:rPr>
          <w:rFonts w:ascii="Times New Roman" w:hAnsi="Times New Roman" w:cs="Times New Roman"/>
          <w:lang w:val="it-IT"/>
        </w:rPr>
        <w:t xml:space="preserve">rispetto </w:t>
      </w:r>
      <w:r w:rsidR="00DB247A" w:rsidRPr="00361047">
        <w:rPr>
          <w:rFonts w:ascii="Times New Roman" w:hAnsi="Times New Roman" w:cs="Times New Roman"/>
          <w:lang w:val="it-IT"/>
        </w:rPr>
        <w:t>allo standard di tutela applicabile al diritto di asilo in senso stretto, vale a dire ai presupposti rilevanti per il rico</w:t>
      </w:r>
      <w:r w:rsidRPr="00361047">
        <w:rPr>
          <w:rFonts w:ascii="Times New Roman" w:hAnsi="Times New Roman" w:cs="Times New Roman"/>
          <w:lang w:val="it-IT"/>
        </w:rPr>
        <w:t>noscimento d</w:t>
      </w:r>
      <w:r w:rsidR="00566D9A" w:rsidRPr="00361047">
        <w:rPr>
          <w:rFonts w:ascii="Times New Roman" w:hAnsi="Times New Roman" w:cs="Times New Roman"/>
          <w:lang w:val="it-IT"/>
        </w:rPr>
        <w:t>i protezione al richiedente asilo.</w:t>
      </w:r>
    </w:p>
    <w:p w14:paraId="487DD22C" w14:textId="7A14DD51" w:rsidR="00DB247A" w:rsidRPr="00361047" w:rsidRDefault="00DB247A" w:rsidP="00806AD2">
      <w:pPr>
        <w:spacing w:after="0" w:line="240" w:lineRule="auto"/>
        <w:ind w:firstLine="708"/>
        <w:jc w:val="both"/>
        <w:rPr>
          <w:rFonts w:ascii="Times New Roman" w:hAnsi="Times New Roman" w:cs="Times New Roman"/>
          <w:lang w:val="it-IT"/>
        </w:rPr>
      </w:pPr>
      <w:r w:rsidRPr="00361047">
        <w:rPr>
          <w:rFonts w:ascii="Times New Roman" w:hAnsi="Times New Roman" w:cs="Times New Roman"/>
          <w:lang w:val="it-IT"/>
        </w:rPr>
        <w:t>Il diritto d’asilo si configura</w:t>
      </w:r>
      <w:r w:rsidR="001347CB" w:rsidRPr="00361047">
        <w:rPr>
          <w:rFonts w:ascii="Times New Roman" w:hAnsi="Times New Roman" w:cs="Times New Roman"/>
          <w:lang w:val="it-IT"/>
        </w:rPr>
        <w:t xml:space="preserve"> come </w:t>
      </w:r>
      <w:r w:rsidRPr="00361047">
        <w:rPr>
          <w:rFonts w:ascii="Times New Roman" w:hAnsi="Times New Roman" w:cs="Times New Roman"/>
          <w:lang w:val="it-IT"/>
        </w:rPr>
        <w:t>uno di quei limiti alla libertà dello Stato di ammett</w:t>
      </w:r>
      <w:r w:rsidR="001347CB" w:rsidRPr="00361047">
        <w:rPr>
          <w:rFonts w:ascii="Times New Roman" w:hAnsi="Times New Roman" w:cs="Times New Roman"/>
          <w:lang w:val="it-IT"/>
        </w:rPr>
        <w:t>ere e allontanare gli stranieri ai quali si faceva cenno</w:t>
      </w:r>
      <w:r w:rsidR="00360F61" w:rsidRPr="00361047">
        <w:rPr>
          <w:rFonts w:ascii="Times New Roman" w:hAnsi="Times New Roman" w:cs="Times New Roman"/>
          <w:lang w:val="it-IT"/>
        </w:rPr>
        <w:t xml:space="preserve">, </w:t>
      </w:r>
      <w:proofErr w:type="spellStart"/>
      <w:r w:rsidR="00360F61" w:rsidRPr="00361047">
        <w:rPr>
          <w:rFonts w:ascii="Times New Roman" w:hAnsi="Times New Roman" w:cs="Times New Roman"/>
          <w:i/>
          <w:iCs/>
          <w:lang w:val="it-IT"/>
        </w:rPr>
        <w:t>supra</w:t>
      </w:r>
      <w:proofErr w:type="spellEnd"/>
      <w:r w:rsidR="00051AD6" w:rsidRPr="00361047">
        <w:rPr>
          <w:rFonts w:ascii="Times New Roman" w:hAnsi="Times New Roman" w:cs="Times New Roman"/>
          <w:lang w:val="it-IT"/>
        </w:rPr>
        <w:t>, al paragrafo 1</w:t>
      </w:r>
      <w:r w:rsidR="001347CB" w:rsidRPr="00361047">
        <w:rPr>
          <w:rFonts w:ascii="Times New Roman" w:hAnsi="Times New Roman" w:cs="Times New Roman"/>
          <w:lang w:val="it-IT"/>
        </w:rPr>
        <w:t>.</w:t>
      </w:r>
      <w:r w:rsidRPr="00361047">
        <w:rPr>
          <w:rFonts w:ascii="Times New Roman" w:hAnsi="Times New Roman" w:cs="Times New Roman"/>
          <w:lang w:val="it-IT"/>
        </w:rPr>
        <w:t xml:space="preserve"> </w:t>
      </w:r>
      <w:proofErr w:type="gramStart"/>
      <w:r w:rsidRPr="00361047">
        <w:rPr>
          <w:rFonts w:ascii="Times New Roman" w:hAnsi="Times New Roman" w:cs="Times New Roman"/>
          <w:lang w:val="it-IT"/>
        </w:rPr>
        <w:t>Tuttavia</w:t>
      </w:r>
      <w:proofErr w:type="gramEnd"/>
      <w:r w:rsidRPr="00361047">
        <w:rPr>
          <w:rFonts w:ascii="Times New Roman" w:hAnsi="Times New Roman" w:cs="Times New Roman"/>
          <w:lang w:val="it-IT"/>
        </w:rPr>
        <w:t xml:space="preserve"> nel Trattato sul funzionamento dell’Unione europea abbiamo “solo” l’attribuzione di una competenza all’Unione a sviluppare una politica di asilo in conformità alla Convenzione di Ginevra del 1951 sui rifugiati e non il riconoscimento di un diritto soggettivo perfetto di asilo. Una tutela più robusta si può rinvenire nella Carta dei diritti fondamentali dell’Unione europea, </w:t>
      </w:r>
      <w:r w:rsidR="005C0992" w:rsidRPr="00361047">
        <w:rPr>
          <w:rFonts w:ascii="Times New Roman" w:hAnsi="Times New Roman" w:cs="Times New Roman"/>
          <w:lang w:val="it-IT"/>
        </w:rPr>
        <w:t>laddove all’art. 18</w:t>
      </w:r>
      <w:r w:rsidRPr="00361047">
        <w:rPr>
          <w:rFonts w:ascii="Times New Roman" w:hAnsi="Times New Roman" w:cs="Times New Roman"/>
          <w:lang w:val="it-IT"/>
        </w:rPr>
        <w:t xml:space="preserve"> è sancito che “Il diritto di asilo è garantito nel rispetto delle norme stabilite dalla Convenzione di Ginevra del 28 luglio 1951 e dal protocollo del 31 gennaio 1967, relativi allo status dei rifugiati, e a norma del trattato sull’Unione europea e del Trattato sul funzionamento dell’Unione europea”. La Corte di giustizia ha avuto modo di chiarire che la Convenzione di Ginevra, alla quale rinviano sia l’art. 78 TFUE, sia l’art. 18 della Carta, sia la normativa derivata, costituisce “il livello di protezione minimo” che ben può essere derogato </w:t>
      </w:r>
      <w:r w:rsidRPr="00361047">
        <w:rPr>
          <w:rFonts w:ascii="Times New Roman" w:hAnsi="Times New Roman" w:cs="Times New Roman"/>
          <w:i/>
          <w:lang w:val="it-IT"/>
        </w:rPr>
        <w:t xml:space="preserve">in </w:t>
      </w:r>
      <w:proofErr w:type="spellStart"/>
      <w:r w:rsidRPr="00361047">
        <w:rPr>
          <w:rFonts w:ascii="Times New Roman" w:hAnsi="Times New Roman" w:cs="Times New Roman"/>
          <w:i/>
          <w:lang w:val="it-IT"/>
        </w:rPr>
        <w:t>melius</w:t>
      </w:r>
      <w:proofErr w:type="spellEnd"/>
      <w:r w:rsidRPr="00361047">
        <w:rPr>
          <w:rFonts w:ascii="Times New Roman" w:hAnsi="Times New Roman" w:cs="Times New Roman"/>
          <w:lang w:val="it-IT"/>
        </w:rPr>
        <w:t xml:space="preserve"> dall’Unione europea. Si tratta di un principio basilare nel rapporto tra strumenti di tutela dei diritti umani e molto rilevante per districarsi nel labirinto delle fonti internazionali, europee e nazionali, tutte rilevanti in materia di asilo</w:t>
      </w:r>
      <w:r w:rsidR="00064EF7" w:rsidRPr="00361047">
        <w:rPr>
          <w:rStyle w:val="Rimandonotaapidipagina"/>
          <w:rFonts w:ascii="Times New Roman" w:hAnsi="Times New Roman" w:cs="Times New Roman"/>
          <w:lang w:val="it-IT"/>
        </w:rPr>
        <w:footnoteReference w:id="27"/>
      </w:r>
      <w:r w:rsidRPr="00361047">
        <w:rPr>
          <w:rFonts w:ascii="Times New Roman" w:hAnsi="Times New Roman" w:cs="Times New Roman"/>
          <w:lang w:val="it-IT"/>
        </w:rPr>
        <w:t xml:space="preserve">. </w:t>
      </w:r>
    </w:p>
    <w:p w14:paraId="1DF4AE57" w14:textId="77777777" w:rsidR="00DB247A" w:rsidRPr="00361047" w:rsidRDefault="00DB247A" w:rsidP="00806AD2">
      <w:pPr>
        <w:spacing w:after="0" w:line="240" w:lineRule="auto"/>
        <w:ind w:firstLine="708"/>
        <w:jc w:val="both"/>
        <w:rPr>
          <w:rFonts w:ascii="Times New Roman" w:hAnsi="Times New Roman" w:cs="Times New Roman"/>
          <w:lang w:val="it-IT"/>
        </w:rPr>
      </w:pPr>
      <w:r w:rsidRPr="00361047">
        <w:rPr>
          <w:rFonts w:ascii="Times New Roman" w:hAnsi="Times New Roman" w:cs="Times New Roman"/>
          <w:lang w:val="it-IT"/>
        </w:rPr>
        <w:t xml:space="preserve">La Corte ha anche precisato che la direttiva 2011/95/UE, pur recando nozioni e regole autonome, deve essere intesa come volta a rendere pienamente rispettata la Convenzione di Ginevra e dunque ad essere interpretata in modo ad essa conforme. Ne consegue che, sia nel sistema dell’Unione, come in quello della Convenzione di Ginevra, il riconoscimento dello status di rifugiato “ha natura ricognitiva e non costitutiva della qualità di rifugiato” (punto 85). </w:t>
      </w:r>
    </w:p>
    <w:p w14:paraId="4ED0F69A" w14:textId="7F46A13D" w:rsidR="00DB247A" w:rsidRPr="00361047" w:rsidRDefault="00DB247A" w:rsidP="00806AD2">
      <w:pPr>
        <w:spacing w:after="0" w:line="240" w:lineRule="auto"/>
        <w:ind w:firstLine="403"/>
        <w:jc w:val="both"/>
        <w:rPr>
          <w:rFonts w:ascii="Times New Roman" w:hAnsi="Times New Roman" w:cs="Times New Roman"/>
          <w:lang w:val="it-IT"/>
        </w:rPr>
      </w:pPr>
      <w:r w:rsidRPr="00361047">
        <w:rPr>
          <w:rFonts w:ascii="Times New Roman" w:hAnsi="Times New Roman" w:cs="Times New Roman"/>
          <w:lang w:val="it-IT"/>
        </w:rPr>
        <w:t>Nel diritto dell’Unione, dunque, lo standard minimo applicabile in materia di diritto di asilo è quello ricavabile dalla Convenzione di Ginevra del 1951, trasfuso nella legislazione secondaria di attuazione dell’art. 78 TFUE. A sua volta, la legislazione secondaria deve essere conforme alla Carta dei diritti fondamentali dell’Unione europea, così che, in caso di revoca del permesso di soggiorno o dello status di rifugiato, il cittadino di Paese terzo è sempre protetto contro l’allontanamento che lo esponga ad un rischio di subire una tortura, una pena o un trattamento disumano o degradante (articoli 4 e 19, par. 2</w:t>
      </w:r>
      <w:r w:rsidR="005C0992" w:rsidRPr="00361047">
        <w:rPr>
          <w:rFonts w:ascii="Times New Roman" w:hAnsi="Times New Roman" w:cs="Times New Roman"/>
          <w:lang w:val="it-IT"/>
        </w:rPr>
        <w:t>, della Carta</w:t>
      </w:r>
      <w:r w:rsidRPr="00361047">
        <w:rPr>
          <w:rFonts w:ascii="Times New Roman" w:hAnsi="Times New Roman" w:cs="Times New Roman"/>
          <w:lang w:val="it-IT"/>
        </w:rPr>
        <w:t xml:space="preserve">). Si è trattato di una precisazione molto rilevante, dato che la direttiva 2011/95/UE non prevede espressamente tale limite, </w:t>
      </w:r>
      <w:r w:rsidR="00806A80" w:rsidRPr="00361047">
        <w:rPr>
          <w:rFonts w:ascii="Times New Roman" w:hAnsi="Times New Roman" w:cs="Times New Roman"/>
          <w:lang w:val="it-IT"/>
        </w:rPr>
        <w:t>che la Corte ricava direttamente da</w:t>
      </w:r>
      <w:r w:rsidRPr="00361047">
        <w:rPr>
          <w:rFonts w:ascii="Times New Roman" w:hAnsi="Times New Roman" w:cs="Times New Roman"/>
          <w:lang w:val="it-IT"/>
        </w:rPr>
        <w:t>lla Carta. La Corte di giustizia ha dunque riconosciuto un diritto soggettivo perfetto a non essere allontanati che può essere invocato direttamente nell’ambito di applicazione de</w:t>
      </w:r>
      <w:r w:rsidR="00806A80" w:rsidRPr="00361047">
        <w:rPr>
          <w:rFonts w:ascii="Times New Roman" w:hAnsi="Times New Roman" w:cs="Times New Roman"/>
          <w:lang w:val="it-IT"/>
        </w:rPr>
        <w:t>l diritto dell’Unione europea</w:t>
      </w:r>
      <w:r w:rsidRPr="00361047">
        <w:rPr>
          <w:rFonts w:ascii="Times New Roman" w:hAnsi="Times New Roman" w:cs="Times New Roman"/>
          <w:lang w:val="it-IT"/>
        </w:rPr>
        <w:t xml:space="preserve">, pur in mancanza di una legislazione secondaria </w:t>
      </w:r>
      <w:r w:rsidR="00A728A2" w:rsidRPr="00361047">
        <w:rPr>
          <w:rFonts w:ascii="Times New Roman" w:hAnsi="Times New Roman" w:cs="Times New Roman"/>
          <w:lang w:val="it-IT"/>
        </w:rPr>
        <w:t>che regoli</w:t>
      </w:r>
      <w:r w:rsidRPr="00361047">
        <w:rPr>
          <w:rFonts w:ascii="Times New Roman" w:hAnsi="Times New Roman" w:cs="Times New Roman"/>
          <w:lang w:val="it-IT"/>
        </w:rPr>
        <w:t xml:space="preserve"> tale specifico diritto. </w:t>
      </w:r>
    </w:p>
    <w:p w14:paraId="430E6282" w14:textId="6F30E0DE" w:rsidR="00DB247A" w:rsidRPr="00361047" w:rsidRDefault="00DB247A" w:rsidP="00806AD2">
      <w:pPr>
        <w:spacing w:after="0" w:line="240" w:lineRule="auto"/>
        <w:ind w:firstLine="403"/>
        <w:jc w:val="both"/>
        <w:rPr>
          <w:rFonts w:ascii="Times New Roman" w:hAnsi="Times New Roman" w:cs="Times New Roman"/>
          <w:lang w:val="it-IT"/>
        </w:rPr>
      </w:pPr>
      <w:r w:rsidRPr="00361047">
        <w:rPr>
          <w:rFonts w:ascii="Times New Roman" w:hAnsi="Times New Roman" w:cs="Times New Roman"/>
          <w:lang w:val="it-IT"/>
        </w:rPr>
        <w:lastRenderedPageBreak/>
        <w:t>Opportunamente la Corte è pervenuta a tale conclusione, considerando che gli Stati membri già sono gravati da un</w:t>
      </w:r>
      <w:r w:rsidR="00C60696" w:rsidRPr="00361047">
        <w:rPr>
          <w:rFonts w:ascii="Times New Roman" w:hAnsi="Times New Roman" w:cs="Times New Roman"/>
          <w:lang w:val="it-IT"/>
        </w:rPr>
        <w:t xml:space="preserve"> identico</w:t>
      </w:r>
      <w:r w:rsidRPr="00361047">
        <w:rPr>
          <w:rFonts w:ascii="Times New Roman" w:hAnsi="Times New Roman" w:cs="Times New Roman"/>
          <w:lang w:val="it-IT"/>
        </w:rPr>
        <w:t xml:space="preserve"> obbligo in virtù dell’art. 3 CEDU</w:t>
      </w:r>
      <w:r w:rsidRPr="00361047">
        <w:rPr>
          <w:rStyle w:val="Rimandonotaapidipagina"/>
          <w:rFonts w:ascii="Times New Roman" w:hAnsi="Times New Roman" w:cs="Times New Roman"/>
          <w:lang w:val="it-IT"/>
        </w:rPr>
        <w:footnoteReference w:id="28"/>
      </w:r>
      <w:r w:rsidRPr="00361047">
        <w:rPr>
          <w:rFonts w:ascii="Times New Roman" w:hAnsi="Times New Roman" w:cs="Times New Roman"/>
          <w:lang w:val="it-IT"/>
        </w:rPr>
        <w:t>, variamente attuato a livello nazionale.</w:t>
      </w:r>
      <w:r w:rsidR="00806A80" w:rsidRPr="00361047">
        <w:rPr>
          <w:rFonts w:ascii="Times New Roman" w:hAnsi="Times New Roman" w:cs="Times New Roman"/>
          <w:lang w:val="it-IT"/>
        </w:rPr>
        <w:t xml:space="preserve"> La Corte EDU ha sempre ribadito il carattere assoluto della tutela derivante da </w:t>
      </w:r>
      <w:r w:rsidR="00C60696" w:rsidRPr="00361047">
        <w:rPr>
          <w:rFonts w:ascii="Times New Roman" w:hAnsi="Times New Roman" w:cs="Times New Roman"/>
          <w:lang w:val="it-IT"/>
        </w:rPr>
        <w:t xml:space="preserve">suddetta </w:t>
      </w:r>
      <w:r w:rsidR="00806A80" w:rsidRPr="00361047">
        <w:rPr>
          <w:rFonts w:ascii="Times New Roman" w:hAnsi="Times New Roman" w:cs="Times New Roman"/>
          <w:lang w:val="it-IT"/>
        </w:rPr>
        <w:t xml:space="preserve">disposizione, con ciò marcando una differenza con la tutela derivante dalla Convenzione di Ginevra sui rifugiati e con quanto espressamente disposto dalla direttiva qualifiche. L’art. 21 di quest’ultima, </w:t>
      </w:r>
      <w:r w:rsidR="007777F8" w:rsidRPr="00361047">
        <w:rPr>
          <w:rFonts w:ascii="Times New Roman" w:hAnsi="Times New Roman" w:cs="Times New Roman"/>
          <w:lang w:val="it-IT"/>
        </w:rPr>
        <w:t>infatti, prevede che gli Stati possano procedere al respingimento di un rifugiato formalmente riconosciuto o meno</w:t>
      </w:r>
      <w:r w:rsidR="00806A80" w:rsidRPr="00361047">
        <w:rPr>
          <w:rFonts w:ascii="Times New Roman" w:hAnsi="Times New Roman" w:cs="Times New Roman"/>
          <w:lang w:val="it-IT"/>
        </w:rPr>
        <w:t>,</w:t>
      </w:r>
      <w:r w:rsidR="007777F8" w:rsidRPr="00361047">
        <w:rPr>
          <w:rFonts w:ascii="Times New Roman" w:hAnsi="Times New Roman" w:cs="Times New Roman"/>
          <w:lang w:val="it-IT"/>
        </w:rPr>
        <w:t xml:space="preserve"> genericamente rinviando ai limiti derivanti dagli obblighi internazionali</w:t>
      </w:r>
      <w:r w:rsidR="007777F8" w:rsidRPr="00361047">
        <w:rPr>
          <w:rStyle w:val="Rimandonotaapidipagina"/>
          <w:rFonts w:ascii="Times New Roman" w:hAnsi="Times New Roman" w:cs="Times New Roman"/>
          <w:lang w:val="it-IT"/>
        </w:rPr>
        <w:footnoteReference w:id="29"/>
      </w:r>
      <w:r w:rsidR="007777F8" w:rsidRPr="00361047">
        <w:rPr>
          <w:rFonts w:ascii="Times New Roman" w:hAnsi="Times New Roman" w:cs="Times New Roman"/>
          <w:lang w:val="it-IT"/>
        </w:rPr>
        <w:t>.</w:t>
      </w:r>
      <w:r w:rsidR="00806A80" w:rsidRPr="00361047">
        <w:rPr>
          <w:rFonts w:ascii="Times New Roman" w:hAnsi="Times New Roman" w:cs="Times New Roman"/>
          <w:lang w:val="it-IT"/>
        </w:rPr>
        <w:t xml:space="preserve"> </w:t>
      </w:r>
      <w:r w:rsidR="007777F8" w:rsidRPr="00361047">
        <w:rPr>
          <w:rFonts w:ascii="Times New Roman" w:hAnsi="Times New Roman" w:cs="Times New Roman"/>
          <w:lang w:val="it-IT"/>
        </w:rPr>
        <w:t xml:space="preserve">La Corte nella sentenza </w:t>
      </w:r>
      <w:r w:rsidR="007777F8" w:rsidRPr="00361047">
        <w:rPr>
          <w:rFonts w:ascii="Times New Roman" w:hAnsi="Times New Roman" w:cs="Times New Roman"/>
          <w:i/>
          <w:lang w:val="it-IT"/>
        </w:rPr>
        <w:t>M</w:t>
      </w:r>
      <w:r w:rsidR="007777F8" w:rsidRPr="00361047">
        <w:rPr>
          <w:rFonts w:ascii="Times New Roman" w:hAnsi="Times New Roman" w:cs="Times New Roman"/>
          <w:lang w:val="it-IT"/>
        </w:rPr>
        <w:t xml:space="preserve"> non menziona l’art. 3 CEDU, nè tantomeno la giurisprudenza della Corte rilevante, ma valorizza esclusivamente la Carta dei diritti fondamentali ed in particolare gli articoli 4 e 19, par. 2. Tuttavia, tali articoli corrispondono proprio all’art. 3 CEDU (l’art. 4) e alla giurisprudenza rilevante della Corte EDU sul divieto di allontanamento (19, par. 2).</w:t>
      </w:r>
      <w:r w:rsidR="005C0992" w:rsidRPr="00361047">
        <w:rPr>
          <w:rFonts w:ascii="Times New Roman" w:hAnsi="Times New Roman" w:cs="Times New Roman"/>
          <w:lang w:val="it-IT"/>
        </w:rPr>
        <w:t xml:space="preserve"> </w:t>
      </w:r>
    </w:p>
    <w:p w14:paraId="1724366B" w14:textId="48297303" w:rsidR="00806A80" w:rsidRPr="00361047" w:rsidRDefault="005C0992" w:rsidP="00806AD2">
      <w:pPr>
        <w:spacing w:after="0" w:line="240" w:lineRule="auto"/>
        <w:ind w:firstLine="403"/>
        <w:jc w:val="both"/>
        <w:rPr>
          <w:rFonts w:ascii="Times New Roman" w:hAnsi="Times New Roman" w:cs="Times New Roman"/>
          <w:lang w:val="it-IT"/>
        </w:rPr>
      </w:pPr>
      <w:r w:rsidRPr="00361047">
        <w:rPr>
          <w:rFonts w:ascii="Times New Roman" w:hAnsi="Times New Roman" w:cs="Times New Roman"/>
          <w:lang w:val="it-IT"/>
        </w:rPr>
        <w:t>La Corte di giustizia afferma, dunque, espressamente</w:t>
      </w:r>
      <w:r w:rsidR="00E4715A" w:rsidRPr="00361047">
        <w:rPr>
          <w:rFonts w:ascii="Times New Roman" w:hAnsi="Times New Roman" w:cs="Times New Roman"/>
          <w:lang w:val="it-IT"/>
        </w:rPr>
        <w:t>,</w:t>
      </w:r>
      <w:r w:rsidRPr="00361047">
        <w:rPr>
          <w:rFonts w:ascii="Times New Roman" w:hAnsi="Times New Roman" w:cs="Times New Roman"/>
          <w:lang w:val="it-IT"/>
        </w:rPr>
        <w:t xml:space="preserve"> che soggetti non beneficiari di protezione internazionale (non riconosciuta o revocata), siano comunque non allontanabili in virtù dell’art. 19, par. 2, della Carta e non solo in virtù degli obblighi internazionali ai quali rinvia l’art. 21 della direttiva qualifiche. </w:t>
      </w:r>
      <w:r w:rsidR="00033AFA" w:rsidRPr="00361047">
        <w:rPr>
          <w:rFonts w:ascii="Times New Roman" w:hAnsi="Times New Roman" w:cs="Times New Roman"/>
          <w:lang w:val="it-IT"/>
        </w:rPr>
        <w:t>G</w:t>
      </w:r>
      <w:r w:rsidRPr="00361047">
        <w:rPr>
          <w:rFonts w:ascii="Times New Roman" w:hAnsi="Times New Roman" w:cs="Times New Roman"/>
          <w:lang w:val="it-IT"/>
        </w:rPr>
        <w:t xml:space="preserve">ià nella sentenza </w:t>
      </w:r>
      <w:r w:rsidRPr="00361047">
        <w:rPr>
          <w:rFonts w:ascii="Times New Roman" w:hAnsi="Times New Roman" w:cs="Times New Roman"/>
          <w:i/>
          <w:lang w:val="it-IT"/>
        </w:rPr>
        <w:t>MP</w:t>
      </w:r>
      <w:r w:rsidRPr="00361047">
        <w:rPr>
          <w:rFonts w:ascii="Times New Roman" w:hAnsi="Times New Roman" w:cs="Times New Roman"/>
          <w:lang w:val="it-IT"/>
        </w:rPr>
        <w:t xml:space="preserve"> la Corte aveva affermato</w:t>
      </w:r>
      <w:r w:rsidR="00033AFA" w:rsidRPr="00361047">
        <w:rPr>
          <w:rFonts w:ascii="Times New Roman" w:hAnsi="Times New Roman" w:cs="Times New Roman"/>
          <w:lang w:val="it-IT"/>
        </w:rPr>
        <w:t xml:space="preserve"> che un conto è la tutela contro l’allontanamento, derivante, in forza dell’articolo 3 della CEDU, dal divieto di esporre una persona a trattamenti inumani o degradanti, ed un altro è il diritto al riconoscimento dello </w:t>
      </w:r>
      <w:r w:rsidR="00033AFA" w:rsidRPr="00361047">
        <w:rPr>
          <w:rFonts w:ascii="Times New Roman" w:hAnsi="Times New Roman" w:cs="Times New Roman"/>
          <w:i/>
          <w:lang w:val="it-IT"/>
        </w:rPr>
        <w:t>status</w:t>
      </w:r>
      <w:r w:rsidR="00033AFA" w:rsidRPr="00361047">
        <w:rPr>
          <w:rFonts w:ascii="Times New Roman" w:hAnsi="Times New Roman" w:cs="Times New Roman"/>
          <w:lang w:val="it-IT"/>
        </w:rPr>
        <w:t xml:space="preserve"> di protezione sussidiaria ai sensi del diritto dell’Unione europea</w:t>
      </w:r>
      <w:r w:rsidR="00033AFA" w:rsidRPr="00361047">
        <w:rPr>
          <w:rStyle w:val="Rimandonotaapidipagina"/>
          <w:rFonts w:ascii="Times New Roman" w:hAnsi="Times New Roman" w:cs="Times New Roman"/>
          <w:lang w:val="it-IT"/>
        </w:rPr>
        <w:footnoteReference w:id="30"/>
      </w:r>
      <w:r w:rsidR="00033AFA" w:rsidRPr="00361047">
        <w:rPr>
          <w:rFonts w:ascii="Times New Roman" w:hAnsi="Times New Roman" w:cs="Times New Roman"/>
          <w:lang w:val="it-IT"/>
        </w:rPr>
        <w:t xml:space="preserve">. È evidente dunque che residua uno spazio di tutela </w:t>
      </w:r>
      <w:r w:rsidR="009C66DD" w:rsidRPr="00361047">
        <w:rPr>
          <w:rFonts w:ascii="Times New Roman" w:hAnsi="Times New Roman" w:cs="Times New Roman"/>
          <w:lang w:val="it-IT"/>
        </w:rPr>
        <w:t xml:space="preserve">derivante dagli obblighi internazionali, </w:t>
      </w:r>
      <w:r w:rsidR="00033AFA" w:rsidRPr="00361047">
        <w:rPr>
          <w:rFonts w:ascii="Times New Roman" w:hAnsi="Times New Roman" w:cs="Times New Roman"/>
          <w:lang w:val="it-IT"/>
        </w:rPr>
        <w:t>non ancora disciplinato dal diritto UE attraverso gli istituti della protezione internazionale ed ancora rientrante nella piena competenza nazionale.</w:t>
      </w:r>
    </w:p>
    <w:p w14:paraId="7A92F4F3" w14:textId="3CEC5D29" w:rsidR="00600FDE" w:rsidRPr="00361047" w:rsidRDefault="00345EE6" w:rsidP="00806AD2">
      <w:pPr>
        <w:spacing w:after="0" w:line="240" w:lineRule="auto"/>
        <w:ind w:firstLine="403"/>
        <w:jc w:val="both"/>
        <w:rPr>
          <w:rFonts w:ascii="Times New Roman" w:hAnsi="Times New Roman" w:cs="Times New Roman"/>
          <w:lang w:val="it-IT"/>
        </w:rPr>
      </w:pPr>
      <w:r w:rsidRPr="00361047">
        <w:rPr>
          <w:rFonts w:ascii="Times New Roman" w:hAnsi="Times New Roman" w:cs="Times New Roman"/>
          <w:lang w:val="it-IT"/>
        </w:rPr>
        <w:t>Inoltre</w:t>
      </w:r>
      <w:r w:rsidR="009C66DD" w:rsidRPr="00361047">
        <w:rPr>
          <w:rFonts w:ascii="Times New Roman" w:hAnsi="Times New Roman" w:cs="Times New Roman"/>
          <w:lang w:val="it-IT"/>
        </w:rPr>
        <w:t>,</w:t>
      </w:r>
      <w:r w:rsidRPr="00361047">
        <w:rPr>
          <w:rFonts w:ascii="Times New Roman" w:hAnsi="Times New Roman" w:cs="Times New Roman"/>
          <w:lang w:val="it-IT"/>
        </w:rPr>
        <w:t xml:space="preserve"> in alcuni Stati esiste un diritto di asilo costituzionale avente una portata diversa e più ampia rispetto al diritto di asilo europeo. </w:t>
      </w:r>
      <w:r w:rsidR="00600FDE" w:rsidRPr="00361047">
        <w:rPr>
          <w:rFonts w:ascii="Times New Roman" w:hAnsi="Times New Roman" w:cs="Times New Roman"/>
          <w:lang w:val="it-IT"/>
        </w:rPr>
        <w:t xml:space="preserve">È il caso dell’Italia, dove all’art. 10(3) Cost. </w:t>
      </w:r>
      <w:r w:rsidR="00AA7472" w:rsidRPr="00361047">
        <w:rPr>
          <w:rFonts w:ascii="Times New Roman" w:hAnsi="Times New Roman" w:cs="Times New Roman"/>
          <w:lang w:val="it-IT"/>
        </w:rPr>
        <w:t xml:space="preserve">è sancito il diritto di asilo </w:t>
      </w:r>
      <w:r w:rsidR="00D9287B" w:rsidRPr="00361047">
        <w:rPr>
          <w:rFonts w:ascii="Times New Roman" w:hAnsi="Times New Roman" w:cs="Times New Roman"/>
          <w:lang w:val="it-IT"/>
        </w:rPr>
        <w:t>come un diritto soggettivo perfetto, direttamente azionabile e formulato in termini molto ampi</w:t>
      </w:r>
      <w:r w:rsidR="00C60696" w:rsidRPr="00361047">
        <w:rPr>
          <w:rFonts w:ascii="Times New Roman" w:hAnsi="Times New Roman" w:cs="Times New Roman"/>
          <w:lang w:val="it-IT"/>
        </w:rPr>
        <w:t>,</w:t>
      </w:r>
      <w:r w:rsidR="00D9287B" w:rsidRPr="00361047">
        <w:rPr>
          <w:rFonts w:ascii="Times New Roman" w:hAnsi="Times New Roman" w:cs="Times New Roman"/>
          <w:lang w:val="it-IT"/>
        </w:rPr>
        <w:t xml:space="preserve"> in quella che è una delle disposizioni più caratterizzanti della Costituzione italiana. In base ad esso “Lo straniero, al quale sia impedito nel suo paese l’effettivo esercizio delle libertà democratiche garantite dalla Costituzione italiana, ha diritto d’asilo nel territorio della Repubblica, secondo le condizioni stabilite dalla legge”.</w:t>
      </w:r>
    </w:p>
    <w:p w14:paraId="63CA5472" w14:textId="6170A2F6" w:rsidR="00345EE6" w:rsidRPr="00361047" w:rsidRDefault="007F24EA" w:rsidP="00806AD2">
      <w:pPr>
        <w:spacing w:after="0" w:line="240" w:lineRule="auto"/>
        <w:ind w:firstLine="403"/>
        <w:jc w:val="both"/>
        <w:rPr>
          <w:rFonts w:ascii="Times New Roman" w:hAnsi="Times New Roman" w:cs="Times New Roman"/>
          <w:lang w:val="it-IT"/>
        </w:rPr>
      </w:pPr>
      <w:r w:rsidRPr="00361047">
        <w:rPr>
          <w:rFonts w:ascii="Times New Roman" w:hAnsi="Times New Roman" w:cs="Times New Roman"/>
          <w:lang w:val="it-IT"/>
        </w:rPr>
        <w:t xml:space="preserve"> </w:t>
      </w:r>
      <w:r w:rsidR="00FA143A" w:rsidRPr="00361047">
        <w:rPr>
          <w:rFonts w:ascii="Times New Roman" w:hAnsi="Times New Roman" w:cs="Times New Roman"/>
          <w:lang w:val="it-IT"/>
        </w:rPr>
        <w:t>L</w:t>
      </w:r>
      <w:r w:rsidR="00345EE6" w:rsidRPr="00361047">
        <w:rPr>
          <w:rFonts w:ascii="Times New Roman" w:hAnsi="Times New Roman" w:cs="Times New Roman"/>
          <w:lang w:val="it-IT"/>
        </w:rPr>
        <w:t xml:space="preserve">e direttive espressamente prevedono che gli Stati possano adottare o mantenere norme nazionali più favorevoli sia in relazione all’interpretazione dei presupposti sostanziali della protezione internazionale, sia in relazione ad </w:t>
      </w:r>
      <w:r w:rsidR="00345EE6" w:rsidRPr="00361047">
        <w:rPr>
          <w:rFonts w:ascii="Times New Roman" w:hAnsi="Times New Roman" w:cs="Times New Roman"/>
          <w:lang w:val="it-IT"/>
        </w:rPr>
        <w:lastRenderedPageBreak/>
        <w:t>altre forme di protezione diverse da quelle di derivazione europea.</w:t>
      </w:r>
      <w:r w:rsidR="00345EE6" w:rsidRPr="00361047">
        <w:rPr>
          <w:rStyle w:val="Rimandonotaapidipagina"/>
          <w:rFonts w:ascii="Times New Roman" w:hAnsi="Times New Roman" w:cs="Times New Roman"/>
          <w:lang w:val="it-IT"/>
        </w:rPr>
        <w:footnoteReference w:id="31"/>
      </w:r>
      <w:r w:rsidR="00345EE6" w:rsidRPr="00361047">
        <w:rPr>
          <w:rFonts w:ascii="Times New Roman" w:hAnsi="Times New Roman" w:cs="Times New Roman"/>
          <w:lang w:val="it-IT"/>
        </w:rPr>
        <w:t xml:space="preserve"> Ciò consente dunque di mantenere l’applicazione del diritto di asilo costituzionale accanto alle forme di protezione internazionale. Il problema si porrebbe invece nel caso di rafforzamento dell’armonizzazione, come le istituzioni europee hanno tentato di fare nella legislatura 2014-2019, senza tuttavia raggiungere il necessario accordo per l’approvazione dei regolamenti di sostituzione delle direttive procedure e qualifiche</w:t>
      </w:r>
      <w:r w:rsidR="00345EE6" w:rsidRPr="00361047">
        <w:rPr>
          <w:rStyle w:val="Rimandonotaapidipagina"/>
          <w:rFonts w:ascii="Times New Roman" w:hAnsi="Times New Roman" w:cs="Times New Roman"/>
          <w:lang w:val="it-IT"/>
        </w:rPr>
        <w:footnoteReference w:id="32"/>
      </w:r>
      <w:r w:rsidR="00345EE6" w:rsidRPr="00361047">
        <w:rPr>
          <w:rFonts w:ascii="Times New Roman" w:hAnsi="Times New Roman" w:cs="Times New Roman"/>
          <w:lang w:val="it-IT"/>
        </w:rPr>
        <w:t>. Come già precisato, la clausola sulle disposizioni nazionali più favorevoli è destinata ad essere superata dovesse essere approvato il pacchetto di riforma del sistema europeo di asilo e si verificasse dunque la sostituzione delle direttive con i regolamenti.</w:t>
      </w:r>
    </w:p>
    <w:p w14:paraId="55CD2AC5" w14:textId="0639F78D" w:rsidR="00631CCB" w:rsidRPr="00361047" w:rsidRDefault="007D4FF3" w:rsidP="00806AD2">
      <w:pPr>
        <w:spacing w:after="0" w:line="240" w:lineRule="auto"/>
        <w:ind w:firstLine="403"/>
        <w:jc w:val="both"/>
        <w:rPr>
          <w:rFonts w:ascii="Times New Roman" w:hAnsi="Times New Roman" w:cs="Times New Roman"/>
          <w:lang w:val="it-IT"/>
        </w:rPr>
      </w:pPr>
      <w:r w:rsidRPr="00361047">
        <w:rPr>
          <w:rFonts w:ascii="Times New Roman" w:hAnsi="Times New Roman" w:cs="Times New Roman"/>
          <w:lang w:val="it-IT"/>
        </w:rPr>
        <w:t xml:space="preserve">Il raffronto tra il diritto di asilo sancito nella Carta e il diritto di asilo costituzionale consente di individuare esattamente la </w:t>
      </w:r>
      <w:r w:rsidR="00BE430F" w:rsidRPr="00361047">
        <w:rPr>
          <w:rFonts w:ascii="Times New Roman" w:hAnsi="Times New Roman" w:cs="Times New Roman"/>
          <w:lang w:val="it-IT"/>
        </w:rPr>
        <w:t xml:space="preserve">diversa </w:t>
      </w:r>
      <w:r w:rsidRPr="00361047">
        <w:rPr>
          <w:rFonts w:ascii="Times New Roman" w:hAnsi="Times New Roman" w:cs="Times New Roman"/>
          <w:lang w:val="it-IT"/>
        </w:rPr>
        <w:t xml:space="preserve">portata </w:t>
      </w:r>
      <w:r w:rsidR="00BE430F" w:rsidRPr="00361047">
        <w:rPr>
          <w:rFonts w:ascii="Times New Roman" w:hAnsi="Times New Roman" w:cs="Times New Roman"/>
          <w:lang w:val="it-IT"/>
        </w:rPr>
        <w:t xml:space="preserve">dei due diritti. Nella Carta il diritto di asilo è riconosciuto in conformità alla Convenzione di Ginevra e con l’applicazione del limite di allontanamento di cui all’art. 19, par. 2. </w:t>
      </w:r>
      <w:r w:rsidR="006C61AE" w:rsidRPr="00361047">
        <w:rPr>
          <w:rFonts w:ascii="Times New Roman" w:hAnsi="Times New Roman" w:cs="Times New Roman"/>
          <w:lang w:val="it-IT"/>
        </w:rPr>
        <w:t>Nella Costituzione italiana invece il diritto è riconosciuto come una situazione giuridica soggettiva perfetta nei confronti di coloro che non godano nel proprio Paese delle medesime libertà democratiche riconosciute nella Costituzione italiana.</w:t>
      </w:r>
      <w:r w:rsidR="00941F0C" w:rsidRPr="00361047">
        <w:rPr>
          <w:rFonts w:ascii="Times New Roman" w:hAnsi="Times New Roman" w:cs="Times New Roman"/>
          <w:lang w:val="it-IT"/>
        </w:rPr>
        <w:t xml:space="preserve"> Entrambe le disposizioni </w:t>
      </w:r>
      <w:r w:rsidR="00E33ABC" w:rsidRPr="00361047">
        <w:rPr>
          <w:rFonts w:ascii="Times New Roman" w:hAnsi="Times New Roman" w:cs="Times New Roman"/>
          <w:lang w:val="it-IT"/>
        </w:rPr>
        <w:t>di rango primario sono attuate a livello secondario: l’art. 18 della Carta attraverso l’esercizio della competenza di cui all’art. 78 TFUE</w:t>
      </w:r>
      <w:r w:rsidR="002066EC" w:rsidRPr="00361047">
        <w:rPr>
          <w:rFonts w:ascii="Times New Roman" w:hAnsi="Times New Roman" w:cs="Times New Roman"/>
          <w:lang w:val="it-IT"/>
        </w:rPr>
        <w:t>, attualmente coincidente con le direttive del sistema europeo comune di asilo. L’art. 10(3) Cost. attraverso i decreti legislativi di attuazione del sistema europeo di asilo e le altre forme di tutela disciplinate a livello nazionale</w:t>
      </w:r>
      <w:r w:rsidR="002066EC" w:rsidRPr="00361047">
        <w:rPr>
          <w:rStyle w:val="Rimandonotaapidipagina"/>
          <w:rFonts w:ascii="Times New Roman" w:hAnsi="Times New Roman" w:cs="Times New Roman"/>
          <w:lang w:val="it-IT"/>
        </w:rPr>
        <w:footnoteReference w:id="33"/>
      </w:r>
      <w:r w:rsidR="002066EC" w:rsidRPr="00361047">
        <w:rPr>
          <w:rFonts w:ascii="Times New Roman" w:hAnsi="Times New Roman" w:cs="Times New Roman"/>
          <w:lang w:val="it-IT"/>
        </w:rPr>
        <w:t>.</w:t>
      </w:r>
    </w:p>
    <w:p w14:paraId="02E58A71" w14:textId="641DCAB0" w:rsidR="008C4753" w:rsidRPr="00361047" w:rsidRDefault="007542E1" w:rsidP="00806AD2">
      <w:pPr>
        <w:spacing w:after="0" w:line="240" w:lineRule="auto"/>
        <w:ind w:firstLine="403"/>
        <w:jc w:val="both"/>
        <w:rPr>
          <w:rFonts w:ascii="Times New Roman" w:hAnsi="Times New Roman" w:cs="Times New Roman"/>
          <w:lang w:val="it-IT"/>
        </w:rPr>
      </w:pPr>
      <w:r w:rsidRPr="00361047">
        <w:rPr>
          <w:rFonts w:ascii="Times New Roman" w:hAnsi="Times New Roman" w:cs="Times New Roman"/>
          <w:lang w:val="it-IT"/>
        </w:rPr>
        <w:t xml:space="preserve">Si comprende dunque quanto rilevante sia la legislazione secondaria nel diritto UE, nel quale il diritto </w:t>
      </w:r>
      <w:r w:rsidR="00785D9A" w:rsidRPr="00361047">
        <w:rPr>
          <w:rFonts w:ascii="Times New Roman" w:hAnsi="Times New Roman" w:cs="Times New Roman"/>
          <w:lang w:val="it-IT"/>
        </w:rPr>
        <w:t xml:space="preserve">fondamentale </w:t>
      </w:r>
      <w:r w:rsidRPr="00361047">
        <w:rPr>
          <w:rFonts w:ascii="Times New Roman" w:hAnsi="Times New Roman" w:cs="Times New Roman"/>
          <w:lang w:val="it-IT"/>
        </w:rPr>
        <w:t xml:space="preserve">di asilo </w:t>
      </w:r>
      <w:r w:rsidR="00785D9A" w:rsidRPr="00361047">
        <w:rPr>
          <w:rFonts w:ascii="Times New Roman" w:hAnsi="Times New Roman" w:cs="Times New Roman"/>
          <w:lang w:val="it-IT"/>
        </w:rPr>
        <w:t xml:space="preserve">è </w:t>
      </w:r>
      <w:r w:rsidR="00685033" w:rsidRPr="00361047">
        <w:rPr>
          <w:rFonts w:ascii="Times New Roman" w:hAnsi="Times New Roman" w:cs="Times New Roman"/>
          <w:lang w:val="it-IT"/>
        </w:rPr>
        <w:t>individuato solo nel minimo attraverso il rinvio alla Convenzione di Ginevra ed agli altri obblighi internazionali di derivazione CEDU.</w:t>
      </w:r>
      <w:r w:rsidR="00835812" w:rsidRPr="00361047">
        <w:rPr>
          <w:rFonts w:ascii="Times New Roman" w:hAnsi="Times New Roman" w:cs="Times New Roman"/>
          <w:lang w:val="it-IT"/>
        </w:rPr>
        <w:t xml:space="preserve"> Nel diritto costituzionale, invece, il diritto di asilo è espresso </w:t>
      </w:r>
      <w:r w:rsidR="00590752" w:rsidRPr="00361047">
        <w:rPr>
          <w:rFonts w:ascii="Times New Roman" w:hAnsi="Times New Roman" w:cs="Times New Roman"/>
          <w:lang w:val="it-IT"/>
        </w:rPr>
        <w:t xml:space="preserve">a livello della stessa Costituzione </w:t>
      </w:r>
      <w:r w:rsidR="00835812" w:rsidRPr="00361047">
        <w:rPr>
          <w:rFonts w:ascii="Times New Roman" w:hAnsi="Times New Roman" w:cs="Times New Roman"/>
          <w:lang w:val="it-IT"/>
        </w:rPr>
        <w:t xml:space="preserve">con un contenuto </w:t>
      </w:r>
      <w:r w:rsidR="00E90DCC" w:rsidRPr="00361047">
        <w:rPr>
          <w:rFonts w:ascii="Times New Roman" w:hAnsi="Times New Roman" w:cs="Times New Roman"/>
          <w:lang w:val="it-IT"/>
        </w:rPr>
        <w:t xml:space="preserve">già molto ampio, coincidente con il mancato esercizio delle libertà </w:t>
      </w:r>
      <w:r w:rsidR="00E90DCC" w:rsidRPr="00361047">
        <w:rPr>
          <w:rFonts w:ascii="Times New Roman" w:hAnsi="Times New Roman" w:cs="Times New Roman"/>
          <w:lang w:val="it-IT"/>
        </w:rPr>
        <w:lastRenderedPageBreak/>
        <w:t>democratiche garantite dalla Costituzione italiana.</w:t>
      </w:r>
      <w:r w:rsidR="008F6333" w:rsidRPr="00361047">
        <w:rPr>
          <w:rFonts w:ascii="Times New Roman" w:hAnsi="Times New Roman" w:cs="Times New Roman"/>
          <w:lang w:val="it-IT"/>
        </w:rPr>
        <w:t xml:space="preserve"> La legislazione secondaria può intervenire indicando limiti e condizioni ma non </w:t>
      </w:r>
      <w:r w:rsidR="007D2CC3" w:rsidRPr="00361047">
        <w:rPr>
          <w:rFonts w:ascii="Times New Roman" w:hAnsi="Times New Roman" w:cs="Times New Roman"/>
          <w:lang w:val="it-IT"/>
        </w:rPr>
        <w:t>riducendo i presupposti per la costituzione del diritto soggettivo.</w:t>
      </w:r>
      <w:r w:rsidR="008C4753" w:rsidRPr="00361047">
        <w:rPr>
          <w:rFonts w:ascii="Times New Roman" w:hAnsi="Times New Roman" w:cs="Times New Roman"/>
          <w:lang w:val="it-IT"/>
        </w:rPr>
        <w:t xml:space="preserve"> </w:t>
      </w:r>
    </w:p>
    <w:p w14:paraId="5989647F" w14:textId="79A8131B" w:rsidR="00DB247A" w:rsidRPr="00361047" w:rsidRDefault="008C4753" w:rsidP="00806AD2">
      <w:pPr>
        <w:spacing w:after="0" w:line="240" w:lineRule="auto"/>
        <w:ind w:firstLine="403"/>
        <w:jc w:val="both"/>
        <w:rPr>
          <w:rFonts w:ascii="Times New Roman" w:hAnsi="Times New Roman" w:cs="Times New Roman"/>
          <w:lang w:val="it-IT"/>
        </w:rPr>
      </w:pPr>
      <w:r w:rsidRPr="00361047">
        <w:rPr>
          <w:rFonts w:ascii="Times New Roman" w:hAnsi="Times New Roman" w:cs="Times New Roman"/>
          <w:lang w:val="it-IT"/>
        </w:rPr>
        <w:t xml:space="preserve">In presenza invece di un diritto fondamentale di asilo </w:t>
      </w:r>
      <w:r w:rsidR="00B20343" w:rsidRPr="00361047">
        <w:rPr>
          <w:rFonts w:ascii="Times New Roman" w:hAnsi="Times New Roman" w:cs="Times New Roman"/>
          <w:lang w:val="it-IT"/>
        </w:rPr>
        <w:t xml:space="preserve">europeo, </w:t>
      </w:r>
      <w:r w:rsidRPr="00361047">
        <w:rPr>
          <w:rFonts w:ascii="Times New Roman" w:hAnsi="Times New Roman" w:cs="Times New Roman"/>
          <w:lang w:val="it-IT"/>
        </w:rPr>
        <w:t>definito nel minimo dalla Convenzione di Ginevra, il ruolo assunto dalla legislazione secondaria diviene estremamente rileva</w:t>
      </w:r>
      <w:r w:rsidR="00CA593C" w:rsidRPr="00361047">
        <w:rPr>
          <w:rFonts w:ascii="Times New Roman" w:hAnsi="Times New Roman" w:cs="Times New Roman"/>
          <w:lang w:val="it-IT"/>
        </w:rPr>
        <w:t xml:space="preserve">nte, essendo in ultima analisi le istituzioni europee </w:t>
      </w:r>
      <w:r w:rsidRPr="00361047">
        <w:rPr>
          <w:rFonts w:ascii="Times New Roman" w:hAnsi="Times New Roman" w:cs="Times New Roman"/>
          <w:lang w:val="it-IT"/>
        </w:rPr>
        <w:t>a definire lo standard di tutela del diritto di asilo europeo.</w:t>
      </w:r>
      <w:r w:rsidR="00B20343" w:rsidRPr="00361047">
        <w:rPr>
          <w:rFonts w:ascii="Times New Roman" w:hAnsi="Times New Roman" w:cs="Times New Roman"/>
          <w:lang w:val="it-IT"/>
        </w:rPr>
        <w:t xml:space="preserve"> </w:t>
      </w:r>
      <w:r w:rsidR="008A06F4" w:rsidRPr="00361047">
        <w:rPr>
          <w:rFonts w:ascii="Times New Roman" w:hAnsi="Times New Roman" w:cs="Times New Roman"/>
          <w:lang w:val="it-IT"/>
        </w:rPr>
        <w:t>In altre parole</w:t>
      </w:r>
      <w:r w:rsidR="00DB247A" w:rsidRPr="00361047">
        <w:rPr>
          <w:rFonts w:ascii="Times New Roman" w:hAnsi="Times New Roman" w:cs="Times New Roman"/>
          <w:lang w:val="it-IT"/>
        </w:rPr>
        <w:t xml:space="preserve">, </w:t>
      </w:r>
      <w:r w:rsidR="008A06F4" w:rsidRPr="00361047">
        <w:rPr>
          <w:rFonts w:ascii="Times New Roman" w:hAnsi="Times New Roman" w:cs="Times New Roman"/>
          <w:lang w:val="it-IT"/>
        </w:rPr>
        <w:t xml:space="preserve">poiché </w:t>
      </w:r>
      <w:r w:rsidR="00DB247A" w:rsidRPr="00361047">
        <w:rPr>
          <w:rFonts w:ascii="Times New Roman" w:hAnsi="Times New Roman" w:cs="Times New Roman"/>
          <w:lang w:val="it-IT"/>
        </w:rPr>
        <w:t>n</w:t>
      </w:r>
      <w:r w:rsidR="00200824" w:rsidRPr="00361047">
        <w:rPr>
          <w:rFonts w:ascii="Times New Roman" w:hAnsi="Times New Roman" w:cs="Times New Roman"/>
          <w:lang w:val="it-IT"/>
        </w:rPr>
        <w:t>ella Carta non troviamo presupp</w:t>
      </w:r>
      <w:r w:rsidR="00DB247A" w:rsidRPr="00361047">
        <w:rPr>
          <w:rFonts w:ascii="Times New Roman" w:hAnsi="Times New Roman" w:cs="Times New Roman"/>
          <w:lang w:val="it-IT"/>
        </w:rPr>
        <w:t>o</w:t>
      </w:r>
      <w:r w:rsidR="00200824" w:rsidRPr="00361047">
        <w:rPr>
          <w:rFonts w:ascii="Times New Roman" w:hAnsi="Times New Roman" w:cs="Times New Roman"/>
          <w:lang w:val="it-IT"/>
        </w:rPr>
        <w:t>sti per il ricon</w:t>
      </w:r>
      <w:r w:rsidR="00DB247A" w:rsidRPr="00361047">
        <w:rPr>
          <w:rFonts w:ascii="Times New Roman" w:hAnsi="Times New Roman" w:cs="Times New Roman"/>
          <w:lang w:val="it-IT"/>
        </w:rPr>
        <w:t>o</w:t>
      </w:r>
      <w:r w:rsidR="00200824" w:rsidRPr="00361047">
        <w:rPr>
          <w:rFonts w:ascii="Times New Roman" w:hAnsi="Times New Roman" w:cs="Times New Roman"/>
          <w:lang w:val="it-IT"/>
        </w:rPr>
        <w:t>s</w:t>
      </w:r>
      <w:r w:rsidR="00DB247A" w:rsidRPr="00361047">
        <w:rPr>
          <w:rFonts w:ascii="Times New Roman" w:hAnsi="Times New Roman" w:cs="Times New Roman"/>
          <w:lang w:val="it-IT"/>
        </w:rPr>
        <w:t>cimento di tale diritto analoghi a quelli presenti nella Costituzione italiana</w:t>
      </w:r>
      <w:r w:rsidR="00084067" w:rsidRPr="00361047">
        <w:rPr>
          <w:rFonts w:ascii="Times New Roman" w:hAnsi="Times New Roman" w:cs="Times New Roman"/>
          <w:lang w:val="it-IT"/>
        </w:rPr>
        <w:t xml:space="preserve">, il </w:t>
      </w:r>
      <w:r w:rsidR="00DB247A" w:rsidRPr="00361047">
        <w:rPr>
          <w:rFonts w:ascii="Times New Roman" w:hAnsi="Times New Roman" w:cs="Times New Roman"/>
          <w:lang w:val="it-IT"/>
        </w:rPr>
        <w:t xml:space="preserve">diritto di asilo UE prende </w:t>
      </w:r>
      <w:r w:rsidR="00084067" w:rsidRPr="00361047">
        <w:rPr>
          <w:rFonts w:ascii="Times New Roman" w:hAnsi="Times New Roman" w:cs="Times New Roman"/>
          <w:lang w:val="it-IT"/>
        </w:rPr>
        <w:t xml:space="preserve">necessariamente </w:t>
      </w:r>
      <w:r w:rsidR="00DB247A" w:rsidRPr="00361047">
        <w:rPr>
          <w:rFonts w:ascii="Times New Roman" w:hAnsi="Times New Roman" w:cs="Times New Roman"/>
          <w:lang w:val="it-IT"/>
        </w:rPr>
        <w:t xml:space="preserve">la forma plasmata dal legislatore secondario attraverso gli atti derivati, nel rispetto dei limiti disposti dalla Carta, </w:t>
      </w:r>
      <w:r w:rsidR="00CA593C" w:rsidRPr="00361047">
        <w:rPr>
          <w:rFonts w:ascii="Times New Roman" w:hAnsi="Times New Roman" w:cs="Times New Roman"/>
          <w:lang w:val="it-IT"/>
        </w:rPr>
        <w:t xml:space="preserve">quali quelli della Convenzione di Ginevra o delle altre norme rilevanti menzionate </w:t>
      </w:r>
      <w:proofErr w:type="spellStart"/>
      <w:r w:rsidR="00CA593C" w:rsidRPr="00361047">
        <w:rPr>
          <w:rFonts w:ascii="Times New Roman" w:hAnsi="Times New Roman" w:cs="Times New Roman"/>
          <w:i/>
          <w:lang w:val="it-IT"/>
        </w:rPr>
        <w:t>supra</w:t>
      </w:r>
      <w:proofErr w:type="spellEnd"/>
      <w:r w:rsidR="00CA593C" w:rsidRPr="00361047">
        <w:rPr>
          <w:rFonts w:ascii="Times New Roman" w:hAnsi="Times New Roman" w:cs="Times New Roman"/>
          <w:lang w:val="it-IT"/>
        </w:rPr>
        <w:t xml:space="preserve"> al par. 3.a</w:t>
      </w:r>
      <w:r w:rsidR="00DB247A" w:rsidRPr="00361047">
        <w:rPr>
          <w:rFonts w:ascii="Times New Roman" w:hAnsi="Times New Roman" w:cs="Times New Roman"/>
          <w:lang w:val="it-IT"/>
        </w:rPr>
        <w:t xml:space="preserve">. </w:t>
      </w:r>
    </w:p>
    <w:p w14:paraId="7F18BF3E" w14:textId="11AE98DB" w:rsidR="005958A1" w:rsidRPr="00361047" w:rsidRDefault="00FB4DAC" w:rsidP="00806AD2">
      <w:pPr>
        <w:spacing w:after="0" w:line="240" w:lineRule="auto"/>
        <w:ind w:firstLine="403"/>
        <w:jc w:val="both"/>
        <w:rPr>
          <w:rFonts w:ascii="Times New Roman" w:hAnsi="Times New Roman" w:cs="Times New Roman"/>
          <w:lang w:val="it-IT"/>
        </w:rPr>
      </w:pPr>
      <w:r w:rsidRPr="00361047">
        <w:rPr>
          <w:rFonts w:ascii="Times New Roman" w:hAnsi="Times New Roman" w:cs="Times New Roman"/>
          <w:lang w:val="it-IT"/>
        </w:rPr>
        <w:t xml:space="preserve">Il problema si porrebbe, dunque, se la legislazione secondaria UE si attestasse sul livello minimo disposto dalla Carta, che risulta inferiore rispetto a quello disposto dalla Costituzione. Tale prospettiva è tutt’altro che teorica, considerando quella dinamica presente in seno al Consiglio descritta al par. 1, che tende infatti a caricare di grande tensione ogni negoziato legislativo, con l’adozione di soluzioni di compromesso adottate all’interno del Consiglio e poi tra il Consiglio ed il Parlamento europeo che tendono ad essere trovate nella riduzione dei diritti garantiti. Significativo quanto affermato da un deputato europeo nella relazione di accompagnamento alla risoluzione </w:t>
      </w:r>
      <w:r w:rsidR="00CC3A37" w:rsidRPr="00361047">
        <w:rPr>
          <w:rFonts w:ascii="Times New Roman" w:hAnsi="Times New Roman" w:cs="Times New Roman"/>
          <w:lang w:val="it-IT"/>
        </w:rPr>
        <w:t>in materia di reinsediamento: “Il nostro sistema comune di asilo non può continuare a concentrarsi esclusivamente su come meglio ostacolare le persone in fuga che tentano di raggiungere il territorio dell’Unione europea”</w:t>
      </w:r>
      <w:r w:rsidR="005958A1" w:rsidRPr="00361047">
        <w:rPr>
          <w:rStyle w:val="Rimandonotaapidipagina"/>
          <w:rFonts w:ascii="Times New Roman" w:hAnsi="Times New Roman" w:cs="Times New Roman"/>
        </w:rPr>
        <w:footnoteReference w:id="34"/>
      </w:r>
      <w:r w:rsidR="005958A1" w:rsidRPr="00361047">
        <w:rPr>
          <w:rFonts w:ascii="Times New Roman" w:hAnsi="Times New Roman" w:cs="Times New Roman"/>
          <w:lang w:val="it-IT"/>
        </w:rPr>
        <w:t>.</w:t>
      </w:r>
    </w:p>
    <w:p w14:paraId="67900939" w14:textId="110343E6" w:rsidR="00A81A10" w:rsidRPr="00361047" w:rsidRDefault="00327DE7" w:rsidP="00806AD2">
      <w:pPr>
        <w:spacing w:after="0" w:line="240" w:lineRule="auto"/>
        <w:ind w:firstLine="403"/>
        <w:jc w:val="both"/>
        <w:rPr>
          <w:rFonts w:ascii="Times New Roman" w:hAnsi="Times New Roman" w:cs="Times New Roman"/>
          <w:lang w:val="it-IT"/>
        </w:rPr>
      </w:pPr>
      <w:r w:rsidRPr="00361047">
        <w:rPr>
          <w:rFonts w:ascii="Times New Roman" w:hAnsi="Times New Roman" w:cs="Times New Roman"/>
          <w:lang w:val="it-IT"/>
        </w:rPr>
        <w:t>Potrebbe addirittura accadere che un Governo in seno al Consiglio sia favorevole ad adottare un atto di armonizzazione delle norme nazionali che contrasti con fastidiosi ed ingombranti principi fondamentali della sua Costituzione, come il diritto costituzionale di asilo. L’Unione potrebbe così divenire il luogo usato per imporre una riduzione degli standard derivanti dalle Costituzioni nazionali nel nome dell’armonizzazione europea.</w:t>
      </w:r>
      <w:r w:rsidR="00581D8F" w:rsidRPr="00361047">
        <w:rPr>
          <w:rFonts w:ascii="Times New Roman" w:hAnsi="Times New Roman" w:cs="Times New Roman"/>
          <w:lang w:val="it-IT"/>
        </w:rPr>
        <w:t xml:space="preserve"> Si porrebbe così anche la premessa di un conflitto tra diritti fondamentali, sempre difficile da risolvere quando a decidere sono le Corti supreme. Più efficace sarebbe </w:t>
      </w:r>
      <w:bookmarkStart w:id="4" w:name="_GoBack"/>
      <w:bookmarkEnd w:id="4"/>
      <w:r w:rsidR="00581D8F" w:rsidRPr="00361047">
        <w:rPr>
          <w:rFonts w:ascii="Times New Roman" w:hAnsi="Times New Roman" w:cs="Times New Roman"/>
          <w:lang w:val="it-IT"/>
        </w:rPr>
        <w:t>l’introduzione di sistemi e procedure di prevenzione del conflitto</w:t>
      </w:r>
      <w:r w:rsidR="00A340A4" w:rsidRPr="00361047">
        <w:rPr>
          <w:rFonts w:ascii="Times New Roman" w:hAnsi="Times New Roman" w:cs="Times New Roman"/>
          <w:lang w:val="it-IT"/>
        </w:rPr>
        <w:t xml:space="preserve"> da attivarsi durante la procedura legislativa ordinaria. In effetti, nelle valutazioni di impatto delle proposte legislative che sono redatte a cura della Commissione europea prima dell’approvazione di una proposta, l’impatto sui diritti umani è debitamente considerato</w:t>
      </w:r>
      <w:r w:rsidR="00E6507C" w:rsidRPr="00361047">
        <w:rPr>
          <w:rStyle w:val="Rimandonotaapidipagina"/>
          <w:rFonts w:ascii="Times New Roman" w:hAnsi="Times New Roman" w:cs="Times New Roman"/>
          <w:lang w:val="it-IT"/>
        </w:rPr>
        <w:footnoteReference w:id="35"/>
      </w:r>
      <w:r w:rsidR="00A340A4" w:rsidRPr="00361047">
        <w:rPr>
          <w:rFonts w:ascii="Times New Roman" w:hAnsi="Times New Roman" w:cs="Times New Roman"/>
          <w:lang w:val="it-IT"/>
        </w:rPr>
        <w:t xml:space="preserve">. Tuttavia, successivamente, durante le negoziazioni </w:t>
      </w:r>
      <w:r w:rsidR="00A340A4" w:rsidRPr="00361047">
        <w:rPr>
          <w:rFonts w:ascii="Times New Roman" w:hAnsi="Times New Roman" w:cs="Times New Roman"/>
          <w:lang w:val="it-IT"/>
        </w:rPr>
        <w:lastRenderedPageBreak/>
        <w:t xml:space="preserve">tra Parlamento e Consiglio, la necessità di trovare un accordo tra le due istituzioni può prevalere sul dovere di rispettare gli standard nazionali sui diritti fondamentali, addirittura, come si è appena accennato, con il </w:t>
      </w:r>
      <w:r w:rsidR="00E6507C" w:rsidRPr="00361047">
        <w:rPr>
          <w:rFonts w:ascii="Times New Roman" w:hAnsi="Times New Roman" w:cs="Times New Roman"/>
          <w:lang w:val="it-IT"/>
        </w:rPr>
        <w:t xml:space="preserve">potenziale </w:t>
      </w:r>
      <w:r w:rsidR="00A340A4" w:rsidRPr="00361047">
        <w:rPr>
          <w:rFonts w:ascii="Times New Roman" w:hAnsi="Times New Roman" w:cs="Times New Roman"/>
          <w:lang w:val="it-IT"/>
        </w:rPr>
        <w:t>favor del rappresentante del Governo in carica.</w:t>
      </w:r>
    </w:p>
    <w:p w14:paraId="1F641DDE" w14:textId="77777777" w:rsidR="005B686D" w:rsidRPr="00361047" w:rsidRDefault="005B686D" w:rsidP="00806AD2">
      <w:pPr>
        <w:autoSpaceDE w:val="0"/>
        <w:autoSpaceDN w:val="0"/>
        <w:adjustRightInd w:val="0"/>
        <w:spacing w:after="0" w:line="240" w:lineRule="auto"/>
        <w:jc w:val="both"/>
        <w:rPr>
          <w:rFonts w:ascii="Times New Roman" w:hAnsi="Times New Roman" w:cs="Times New Roman"/>
          <w:b/>
          <w:lang w:val="it-IT"/>
        </w:rPr>
      </w:pPr>
    </w:p>
    <w:p w14:paraId="41CE9F4C" w14:textId="6444E670" w:rsidR="0038099F" w:rsidRPr="00361047" w:rsidRDefault="00DB247A" w:rsidP="00806AD2">
      <w:pPr>
        <w:pStyle w:val="Paragrafoelenco"/>
        <w:numPr>
          <w:ilvl w:val="0"/>
          <w:numId w:val="4"/>
        </w:numPr>
        <w:autoSpaceDE w:val="0"/>
        <w:autoSpaceDN w:val="0"/>
        <w:adjustRightInd w:val="0"/>
        <w:spacing w:after="0" w:line="240" w:lineRule="auto"/>
        <w:jc w:val="both"/>
        <w:rPr>
          <w:rFonts w:ascii="Times New Roman" w:hAnsi="Times New Roman" w:cs="Times New Roman"/>
          <w:b/>
          <w:lang w:val="it-IT"/>
        </w:rPr>
      </w:pPr>
      <w:r w:rsidRPr="00361047">
        <w:rPr>
          <w:rFonts w:ascii="Times New Roman" w:hAnsi="Times New Roman" w:cs="Times New Roman"/>
          <w:b/>
          <w:lang w:val="it-IT"/>
        </w:rPr>
        <w:t>Conclusioni</w:t>
      </w:r>
    </w:p>
    <w:p w14:paraId="63FF88CB" w14:textId="1551D355" w:rsidR="0038099F" w:rsidRPr="00361047" w:rsidRDefault="005B686D" w:rsidP="00806AD2">
      <w:pPr>
        <w:spacing w:after="0" w:line="240" w:lineRule="auto"/>
        <w:ind w:firstLine="403"/>
        <w:jc w:val="both"/>
        <w:rPr>
          <w:rFonts w:ascii="Times New Roman" w:hAnsi="Times New Roman" w:cs="Times New Roman"/>
          <w:lang w:val="it-IT"/>
        </w:rPr>
      </w:pPr>
      <w:r w:rsidRPr="00361047">
        <w:rPr>
          <w:rFonts w:ascii="Times New Roman" w:hAnsi="Times New Roman" w:cs="Times New Roman"/>
          <w:lang w:val="it-IT"/>
        </w:rPr>
        <w:t>L</w:t>
      </w:r>
      <w:r w:rsidR="0038099F" w:rsidRPr="00361047">
        <w:rPr>
          <w:rFonts w:ascii="Times New Roman" w:hAnsi="Times New Roman" w:cs="Times New Roman"/>
          <w:lang w:val="it-IT"/>
        </w:rPr>
        <w:t>a difficile costruzione di un sistema europeo di asilo comune</w:t>
      </w:r>
      <w:r w:rsidRPr="00361047">
        <w:rPr>
          <w:rFonts w:ascii="Times New Roman" w:hAnsi="Times New Roman" w:cs="Times New Roman"/>
          <w:lang w:val="it-IT"/>
        </w:rPr>
        <w:t xml:space="preserve">, nonché </w:t>
      </w:r>
      <w:r w:rsidR="0065082D" w:rsidRPr="00361047">
        <w:rPr>
          <w:rFonts w:ascii="Times New Roman" w:hAnsi="Times New Roman" w:cs="Times New Roman"/>
          <w:lang w:val="it-IT"/>
        </w:rPr>
        <w:t>l’esame di alcune sentenze della Corte di giustizia</w:t>
      </w:r>
      <w:r w:rsidR="0038099F" w:rsidRPr="00361047">
        <w:rPr>
          <w:rFonts w:ascii="Times New Roman" w:hAnsi="Times New Roman" w:cs="Times New Roman"/>
          <w:lang w:val="it-IT"/>
        </w:rPr>
        <w:t xml:space="preserve">, portano a ritenere problematica l’applicazione del principio </w:t>
      </w:r>
      <w:r w:rsidR="0038099F" w:rsidRPr="00361047">
        <w:rPr>
          <w:rFonts w:ascii="Times New Roman" w:hAnsi="Times New Roman" w:cs="Times New Roman"/>
          <w:bCs/>
          <w:i/>
          <w:lang w:val="it-IT"/>
        </w:rPr>
        <w:t>Melloni</w:t>
      </w:r>
      <w:r w:rsidR="0038099F" w:rsidRPr="00361047">
        <w:rPr>
          <w:rFonts w:ascii="Times New Roman" w:hAnsi="Times New Roman" w:cs="Times New Roman"/>
          <w:lang w:val="it-IT"/>
        </w:rPr>
        <w:t xml:space="preserve"> nel settore dell’asilo. Ritenere, infatti, che ciò che determina in ultima analisi l’individuazione dello standard applicabile in materia di asilo sia la presenza o l’assenza di un atto legislativo volto ad armonizzare le norme nazionali, risulta estremamente critico, considerando che l’armonizzazione </w:t>
      </w:r>
      <w:r w:rsidR="0065082D" w:rsidRPr="00361047">
        <w:rPr>
          <w:rFonts w:ascii="Times New Roman" w:hAnsi="Times New Roman" w:cs="Times New Roman"/>
          <w:lang w:val="it-IT"/>
        </w:rPr>
        <w:t>in questo settore t</w:t>
      </w:r>
      <w:r w:rsidR="0038099F" w:rsidRPr="00361047">
        <w:rPr>
          <w:rFonts w:ascii="Times New Roman" w:hAnsi="Times New Roman" w:cs="Times New Roman"/>
          <w:lang w:val="it-IT"/>
        </w:rPr>
        <w:t>ende ad asse</w:t>
      </w:r>
      <w:r w:rsidR="006315DD" w:rsidRPr="00361047">
        <w:rPr>
          <w:rFonts w:ascii="Times New Roman" w:hAnsi="Times New Roman" w:cs="Times New Roman"/>
          <w:lang w:val="it-IT"/>
        </w:rPr>
        <w:t>s</w:t>
      </w:r>
      <w:r w:rsidR="0038099F" w:rsidRPr="00361047">
        <w:rPr>
          <w:rFonts w:ascii="Times New Roman" w:hAnsi="Times New Roman" w:cs="Times New Roman"/>
          <w:lang w:val="it-IT"/>
        </w:rPr>
        <w:t>tarsi su</w:t>
      </w:r>
      <w:r w:rsidR="00A544DE" w:rsidRPr="00361047">
        <w:rPr>
          <w:rFonts w:ascii="Times New Roman" w:hAnsi="Times New Roman" w:cs="Times New Roman"/>
          <w:lang w:val="it-IT"/>
        </w:rPr>
        <w:t xml:space="preserve"> un livello di </w:t>
      </w:r>
      <w:r w:rsidR="0038099F" w:rsidRPr="00361047">
        <w:rPr>
          <w:rFonts w:ascii="Times New Roman" w:hAnsi="Times New Roman" w:cs="Times New Roman"/>
          <w:lang w:val="it-IT"/>
        </w:rPr>
        <w:t>tutela dei diritti</w:t>
      </w:r>
      <w:r w:rsidR="00A544DE" w:rsidRPr="00361047">
        <w:rPr>
          <w:rFonts w:ascii="Times New Roman" w:hAnsi="Times New Roman" w:cs="Times New Roman"/>
          <w:lang w:val="it-IT"/>
        </w:rPr>
        <w:t xml:space="preserve"> decrescente</w:t>
      </w:r>
      <w:r w:rsidR="00C1487A" w:rsidRPr="00361047">
        <w:rPr>
          <w:rFonts w:ascii="Times New Roman" w:hAnsi="Times New Roman" w:cs="Times New Roman"/>
          <w:lang w:val="it-IT"/>
        </w:rPr>
        <w:t xml:space="preserve">, talvolta </w:t>
      </w:r>
      <w:r w:rsidR="00A544DE" w:rsidRPr="00361047">
        <w:rPr>
          <w:rFonts w:ascii="Times New Roman" w:hAnsi="Times New Roman" w:cs="Times New Roman"/>
          <w:lang w:val="it-IT"/>
        </w:rPr>
        <w:t>inferiore rispetto a quello disposto da alcune Costituzioni nazionali,</w:t>
      </w:r>
      <w:r w:rsidR="00C1487A" w:rsidRPr="00361047">
        <w:rPr>
          <w:rFonts w:ascii="Times New Roman" w:hAnsi="Times New Roman" w:cs="Times New Roman"/>
          <w:lang w:val="it-IT"/>
        </w:rPr>
        <w:t xml:space="preserve"> come </w:t>
      </w:r>
      <w:r w:rsidR="00A544DE" w:rsidRPr="00361047">
        <w:rPr>
          <w:rFonts w:ascii="Times New Roman" w:hAnsi="Times New Roman" w:cs="Times New Roman"/>
          <w:lang w:val="it-IT"/>
        </w:rPr>
        <w:t>quella italiana</w:t>
      </w:r>
      <w:r w:rsidR="0038099F" w:rsidRPr="00361047">
        <w:rPr>
          <w:rFonts w:ascii="Times New Roman" w:hAnsi="Times New Roman" w:cs="Times New Roman"/>
          <w:lang w:val="it-IT"/>
        </w:rPr>
        <w:t>.</w:t>
      </w:r>
      <w:r w:rsidR="00872248" w:rsidRPr="00361047">
        <w:rPr>
          <w:rFonts w:ascii="Times New Roman" w:hAnsi="Times New Roman" w:cs="Times New Roman"/>
          <w:lang w:val="it-IT"/>
        </w:rPr>
        <w:t xml:space="preserve"> Anche le divergenze tra l’orientamento della Corte di giustizia e quello della Corte EDU in materia di diritto ad un ricorso effettivo sono un sintomo di un certo approccio restrittivo che sembra caratterizzare anche l’orientamento della Corte di giustizia.</w:t>
      </w:r>
    </w:p>
    <w:p w14:paraId="04FB937B" w14:textId="77777777" w:rsidR="00FB44D7" w:rsidRPr="00361047" w:rsidRDefault="00A544DE" w:rsidP="00806AD2">
      <w:pPr>
        <w:spacing w:after="0" w:line="240" w:lineRule="auto"/>
        <w:ind w:firstLine="403"/>
        <w:jc w:val="both"/>
        <w:rPr>
          <w:rFonts w:ascii="Times New Roman" w:hAnsi="Times New Roman" w:cs="Times New Roman"/>
          <w:lang w:val="it-IT"/>
        </w:rPr>
      </w:pPr>
      <w:r w:rsidRPr="00361047">
        <w:rPr>
          <w:rFonts w:ascii="Times New Roman" w:hAnsi="Times New Roman" w:cs="Times New Roman"/>
          <w:lang w:val="it-IT"/>
        </w:rPr>
        <w:t xml:space="preserve">Una </w:t>
      </w:r>
      <w:r w:rsidR="00872248" w:rsidRPr="00361047">
        <w:rPr>
          <w:rFonts w:ascii="Times New Roman" w:hAnsi="Times New Roman" w:cs="Times New Roman"/>
          <w:lang w:val="it-IT"/>
        </w:rPr>
        <w:t xml:space="preserve">prima </w:t>
      </w:r>
      <w:r w:rsidRPr="00361047">
        <w:rPr>
          <w:rFonts w:ascii="Times New Roman" w:hAnsi="Times New Roman" w:cs="Times New Roman"/>
          <w:lang w:val="it-IT"/>
        </w:rPr>
        <w:t xml:space="preserve">soluzione per </w:t>
      </w:r>
      <w:r w:rsidR="00872248" w:rsidRPr="00361047">
        <w:rPr>
          <w:rFonts w:ascii="Times New Roman" w:hAnsi="Times New Roman" w:cs="Times New Roman"/>
          <w:lang w:val="it-IT"/>
        </w:rPr>
        <w:t xml:space="preserve">attenuare tale </w:t>
      </w:r>
      <w:r w:rsidR="009650A1" w:rsidRPr="00361047">
        <w:rPr>
          <w:rFonts w:ascii="Times New Roman" w:hAnsi="Times New Roman" w:cs="Times New Roman"/>
          <w:lang w:val="it-IT"/>
        </w:rPr>
        <w:t>tendenza restrittiva è quella di garantire coerenza tra gli orientamenti delle Corti europe</w:t>
      </w:r>
      <w:r w:rsidR="009853F0" w:rsidRPr="00361047">
        <w:rPr>
          <w:rFonts w:ascii="Times New Roman" w:hAnsi="Times New Roman" w:cs="Times New Roman"/>
          <w:lang w:val="it-IT"/>
        </w:rPr>
        <w:t>e</w:t>
      </w:r>
      <w:r w:rsidR="009650A1" w:rsidRPr="00361047">
        <w:rPr>
          <w:rFonts w:ascii="Times New Roman" w:hAnsi="Times New Roman" w:cs="Times New Roman"/>
          <w:lang w:val="it-IT"/>
        </w:rPr>
        <w:t xml:space="preserve">, così da non “deformare” lo standard CEDU quando applicato nell’ordinamento dell’Unione. Inoltre, per </w:t>
      </w:r>
      <w:r w:rsidR="00A81A10" w:rsidRPr="00361047">
        <w:rPr>
          <w:rFonts w:ascii="Times New Roman" w:hAnsi="Times New Roman" w:cs="Times New Roman"/>
          <w:lang w:val="it-IT"/>
        </w:rPr>
        <w:t xml:space="preserve">conciliare il principio del primato del diritto UE e la tutela dei diritti fondamentali </w:t>
      </w:r>
      <w:r w:rsidRPr="00361047">
        <w:rPr>
          <w:rFonts w:ascii="Times New Roman" w:hAnsi="Times New Roman" w:cs="Times New Roman"/>
          <w:lang w:val="it-IT"/>
        </w:rPr>
        <w:t>riconosciuti a livello nazionale</w:t>
      </w:r>
      <w:r w:rsidR="00071935" w:rsidRPr="00361047">
        <w:rPr>
          <w:rFonts w:ascii="Times New Roman" w:hAnsi="Times New Roman" w:cs="Times New Roman"/>
          <w:lang w:val="it-IT"/>
        </w:rPr>
        <w:t xml:space="preserve">, si potrebbe invocare </w:t>
      </w:r>
      <w:r w:rsidR="00A81A10" w:rsidRPr="00361047">
        <w:rPr>
          <w:rFonts w:ascii="Times New Roman" w:hAnsi="Times New Roman" w:cs="Times New Roman"/>
          <w:lang w:val="it-IT"/>
        </w:rPr>
        <w:t>l’applicazione dello standard più favorevole</w:t>
      </w:r>
      <w:r w:rsidRPr="00361047">
        <w:rPr>
          <w:rFonts w:ascii="Times New Roman" w:hAnsi="Times New Roman" w:cs="Times New Roman"/>
          <w:lang w:val="it-IT"/>
        </w:rPr>
        <w:t xml:space="preserve"> </w:t>
      </w:r>
      <w:r w:rsidR="00071935" w:rsidRPr="00361047">
        <w:rPr>
          <w:rFonts w:ascii="Times New Roman" w:hAnsi="Times New Roman" w:cs="Times New Roman"/>
          <w:lang w:val="it-IT"/>
        </w:rPr>
        <w:t>con una lettura dell’art. 53 della Carta</w:t>
      </w:r>
      <w:r w:rsidR="00244A76" w:rsidRPr="00361047">
        <w:rPr>
          <w:rFonts w:ascii="Times New Roman" w:hAnsi="Times New Roman" w:cs="Times New Roman"/>
          <w:lang w:val="it-IT"/>
        </w:rPr>
        <w:t xml:space="preserve"> diversa da quella sino offerta dalla Corte di giustizia</w:t>
      </w:r>
      <w:r w:rsidR="00071935" w:rsidRPr="00361047">
        <w:rPr>
          <w:rFonts w:ascii="Times New Roman" w:hAnsi="Times New Roman" w:cs="Times New Roman"/>
          <w:lang w:val="it-IT"/>
        </w:rPr>
        <w:t>. Inoltre, è auspicabile il rafforzamento di</w:t>
      </w:r>
      <w:r w:rsidRPr="00361047">
        <w:rPr>
          <w:rFonts w:ascii="Times New Roman" w:hAnsi="Times New Roman" w:cs="Times New Roman"/>
          <w:lang w:val="it-IT"/>
        </w:rPr>
        <w:t xml:space="preserve"> quegli strumenti </w:t>
      </w:r>
      <w:r w:rsidR="002963C1" w:rsidRPr="00361047">
        <w:rPr>
          <w:rFonts w:ascii="Times New Roman" w:hAnsi="Times New Roman" w:cs="Times New Roman"/>
          <w:lang w:val="it-IT"/>
        </w:rPr>
        <w:t>volti ad</w:t>
      </w:r>
      <w:r w:rsidRPr="00361047">
        <w:rPr>
          <w:rFonts w:ascii="Times New Roman" w:hAnsi="Times New Roman" w:cs="Times New Roman"/>
          <w:lang w:val="it-IT"/>
        </w:rPr>
        <w:t xml:space="preserve"> evitare che nella formazione degli atti dell’Unione vi siano norme che possano collidere con i diritti fondamentali tutelati a livello delle Costituzioni nazionali</w:t>
      </w:r>
      <w:r w:rsidR="001F6AC7" w:rsidRPr="00361047">
        <w:rPr>
          <w:rFonts w:ascii="Times New Roman" w:hAnsi="Times New Roman" w:cs="Times New Roman"/>
          <w:lang w:val="it-IT"/>
        </w:rPr>
        <w:t>, così attivando una sorta di prevenzione del contrasto tra fonti, evitando che si crei un conflitto di difficile soluzione una volta giunti di fronti alle Corti</w:t>
      </w:r>
      <w:r w:rsidRPr="00361047">
        <w:rPr>
          <w:rFonts w:ascii="Times New Roman" w:hAnsi="Times New Roman" w:cs="Times New Roman"/>
          <w:lang w:val="it-IT"/>
        </w:rPr>
        <w:t>.</w:t>
      </w:r>
    </w:p>
    <w:p w14:paraId="341E1EB4" w14:textId="41D78AFB" w:rsidR="008C4859" w:rsidRPr="00361047" w:rsidRDefault="00A81A10" w:rsidP="00806AD2">
      <w:pPr>
        <w:spacing w:after="0" w:line="240" w:lineRule="auto"/>
        <w:ind w:firstLine="403"/>
        <w:jc w:val="both"/>
        <w:rPr>
          <w:rFonts w:ascii="Times New Roman" w:hAnsi="Times New Roman" w:cs="Times New Roman"/>
          <w:lang w:val="it-IT"/>
        </w:rPr>
      </w:pPr>
      <w:r w:rsidRPr="00361047">
        <w:rPr>
          <w:rFonts w:ascii="Times New Roman" w:hAnsi="Times New Roman" w:cs="Times New Roman"/>
          <w:lang w:val="it-IT"/>
        </w:rPr>
        <w:t xml:space="preserve">Nella crisi di valori e di identità dell’Unione, la riviviscenza del principio dell’armonizzazione nel progresso, ormai poco più di un ricordo degli anni d’oro del processo di integrazione europea, potrebbe consentire anche un rilancio dello stesso processo di integrazione nel quale è </w:t>
      </w:r>
      <w:r w:rsidR="00A544DE" w:rsidRPr="00361047">
        <w:rPr>
          <w:rFonts w:ascii="Times New Roman" w:hAnsi="Times New Roman" w:cs="Times New Roman"/>
          <w:lang w:val="it-IT"/>
        </w:rPr>
        <w:t xml:space="preserve">talvolta </w:t>
      </w:r>
      <w:r w:rsidRPr="00361047">
        <w:rPr>
          <w:rFonts w:ascii="Times New Roman" w:hAnsi="Times New Roman" w:cs="Times New Roman"/>
          <w:lang w:val="it-IT"/>
        </w:rPr>
        <w:t>difficile riconoscere il merito di assicurare il miglioramento del benessere collettivo dei popoli europei, inclusi i loro diritti fondamentali.</w:t>
      </w:r>
      <w:r w:rsidR="00A544DE" w:rsidRPr="00361047">
        <w:rPr>
          <w:rFonts w:ascii="Times New Roman" w:hAnsi="Times New Roman" w:cs="Times New Roman"/>
          <w:lang w:val="it-IT"/>
        </w:rPr>
        <w:t xml:space="preserve"> </w:t>
      </w:r>
    </w:p>
    <w:sectPr w:rsidR="008C4859" w:rsidRPr="00361047" w:rsidSect="00806AD2">
      <w:footerReference w:type="default" r:id="rId8"/>
      <w:pgSz w:w="11906" w:h="16838" w:code="9"/>
      <w:pgMar w:top="2552" w:right="2552" w:bottom="2552" w:left="2552"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552E79" w14:textId="77777777" w:rsidR="00947860" w:rsidRDefault="00947860" w:rsidP="007872FE">
      <w:pPr>
        <w:spacing w:after="0" w:line="240" w:lineRule="auto"/>
      </w:pPr>
      <w:r>
        <w:separator/>
      </w:r>
    </w:p>
  </w:endnote>
  <w:endnote w:type="continuationSeparator" w:id="0">
    <w:p w14:paraId="371923BD" w14:textId="77777777" w:rsidR="00947860" w:rsidRDefault="00947860" w:rsidP="007872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53228909"/>
      <w:docPartObj>
        <w:docPartGallery w:val="Page Numbers (Bottom of Page)"/>
        <w:docPartUnique/>
      </w:docPartObj>
    </w:sdtPr>
    <w:sdtEndPr/>
    <w:sdtContent>
      <w:p w14:paraId="37DB9069" w14:textId="6FD757F7" w:rsidR="00845990" w:rsidRDefault="00845990">
        <w:pPr>
          <w:pStyle w:val="Pidipagina"/>
          <w:jc w:val="right"/>
        </w:pPr>
        <w:r>
          <w:fldChar w:fldCharType="begin"/>
        </w:r>
        <w:r>
          <w:instrText>PAGE   \* MERGEFORMAT</w:instrText>
        </w:r>
        <w:r>
          <w:fldChar w:fldCharType="separate"/>
        </w:r>
        <w:r w:rsidR="00F70A6B" w:rsidRPr="00F70A6B">
          <w:rPr>
            <w:noProof/>
            <w:lang w:val="it-IT"/>
          </w:rPr>
          <w:t>1</w:t>
        </w:r>
        <w:r>
          <w:fldChar w:fldCharType="end"/>
        </w:r>
      </w:p>
    </w:sdtContent>
  </w:sdt>
  <w:p w14:paraId="7AA70ED2" w14:textId="77777777" w:rsidR="00845990" w:rsidRDefault="0084599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998555" w14:textId="77777777" w:rsidR="00947860" w:rsidRDefault="00947860" w:rsidP="007872FE">
      <w:pPr>
        <w:spacing w:after="0" w:line="240" w:lineRule="auto"/>
      </w:pPr>
      <w:r>
        <w:separator/>
      </w:r>
    </w:p>
  </w:footnote>
  <w:footnote w:type="continuationSeparator" w:id="0">
    <w:p w14:paraId="645E5BEE" w14:textId="77777777" w:rsidR="00947860" w:rsidRDefault="00947860" w:rsidP="007872FE">
      <w:pPr>
        <w:spacing w:after="0" w:line="240" w:lineRule="auto"/>
      </w:pPr>
      <w:r>
        <w:continuationSeparator/>
      </w:r>
    </w:p>
  </w:footnote>
  <w:footnote w:id="1">
    <w:p w14:paraId="7B2D1B0F" w14:textId="38A667B1" w:rsidR="00361047" w:rsidRPr="00361047" w:rsidRDefault="00361047" w:rsidP="00361047">
      <w:pPr>
        <w:pStyle w:val="Testonotaapidipagina"/>
        <w:jc w:val="both"/>
        <w:rPr>
          <w:color w:val="000000"/>
          <w:sz w:val="18"/>
          <w:szCs w:val="18"/>
          <w:lang w:val="it-IT"/>
        </w:rPr>
      </w:pPr>
      <w:r w:rsidRPr="00361047">
        <w:rPr>
          <w:color w:val="000000"/>
          <w:sz w:val="18"/>
          <w:szCs w:val="18"/>
          <w:lang w:val="it-IT"/>
        </w:rPr>
        <w:t>*</w:t>
      </w:r>
      <w:r w:rsidRPr="00361047">
        <w:rPr>
          <w:color w:val="000000"/>
          <w:sz w:val="18"/>
          <w:szCs w:val="18"/>
          <w:lang w:val="it-IT"/>
        </w:rPr>
        <w:t>Associato di diritto dell’Unione europea</w:t>
      </w:r>
      <w:r>
        <w:rPr>
          <w:color w:val="000000"/>
          <w:sz w:val="18"/>
          <w:szCs w:val="18"/>
          <w:lang w:val="it-IT"/>
        </w:rPr>
        <w:t xml:space="preserve"> nell’Università di Firenze</w:t>
      </w:r>
    </w:p>
    <w:p w14:paraId="3D363256" w14:textId="2DDC6576" w:rsidR="00083486" w:rsidRPr="00361047" w:rsidRDefault="00083486" w:rsidP="00083486">
      <w:pPr>
        <w:pStyle w:val="Testonotaapidipagina"/>
        <w:jc w:val="both"/>
        <w:rPr>
          <w:sz w:val="18"/>
          <w:szCs w:val="18"/>
          <w:lang w:val="it-IT"/>
        </w:rPr>
      </w:pPr>
      <w:r w:rsidRPr="00361047">
        <w:rPr>
          <w:rStyle w:val="Rimandonotaapidipagina"/>
          <w:sz w:val="18"/>
          <w:szCs w:val="18"/>
        </w:rPr>
        <w:footnoteRef/>
      </w:r>
      <w:r w:rsidRPr="00361047">
        <w:rPr>
          <w:sz w:val="18"/>
          <w:szCs w:val="18"/>
          <w:lang w:val="it-IT"/>
        </w:rPr>
        <w:t xml:space="preserve"> </w:t>
      </w:r>
      <w:r w:rsidR="00C145B6" w:rsidRPr="00361047">
        <w:rPr>
          <w:sz w:val="18"/>
          <w:szCs w:val="18"/>
          <w:lang w:val="it-IT"/>
        </w:rPr>
        <w:t>A partire dal 1° dicembre 2009 la competenza in materia di immigrazione e asilo è collocata nel Trattato sul funzionamento dell’Unione europea e in particolare nel Titolo V, rubricato “Spazio di libertà, sicurezza e giustizia” (artt. da 67 ad 89 del T</w:t>
      </w:r>
      <w:r w:rsidR="00773292" w:rsidRPr="00361047">
        <w:rPr>
          <w:sz w:val="18"/>
          <w:szCs w:val="18"/>
          <w:lang w:val="it-IT"/>
        </w:rPr>
        <w:t>FUE</w:t>
      </w:r>
      <w:r w:rsidR="00C145B6" w:rsidRPr="00361047">
        <w:rPr>
          <w:sz w:val="18"/>
          <w:szCs w:val="18"/>
          <w:lang w:val="it-IT"/>
        </w:rPr>
        <w:t>), il cui capo 2 è dedicato alle “Politiche relative ai controlli alle frontiere, all’asilo e all’immigrazione” (artt. 77-80) che segue il capo 1 sulle Disposizioni generali</w:t>
      </w:r>
      <w:r w:rsidR="00773292" w:rsidRPr="00361047">
        <w:rPr>
          <w:sz w:val="18"/>
          <w:szCs w:val="18"/>
          <w:lang w:val="it-IT"/>
        </w:rPr>
        <w:t xml:space="preserve"> </w:t>
      </w:r>
      <w:r w:rsidR="00C145B6" w:rsidRPr="00361047">
        <w:rPr>
          <w:sz w:val="18"/>
          <w:szCs w:val="18"/>
          <w:lang w:val="it-IT"/>
        </w:rPr>
        <w:t>(artt. 67-76).</w:t>
      </w:r>
      <w:r w:rsidR="00773292" w:rsidRPr="00361047">
        <w:rPr>
          <w:sz w:val="18"/>
          <w:szCs w:val="18"/>
          <w:lang w:val="it-IT"/>
        </w:rPr>
        <w:t xml:space="preserve"> </w:t>
      </w:r>
    </w:p>
  </w:footnote>
  <w:footnote w:id="2">
    <w:p w14:paraId="72D7D53D" w14:textId="5FED0E1E" w:rsidR="00845990" w:rsidRPr="00361047" w:rsidRDefault="00845990" w:rsidP="007872FE">
      <w:pPr>
        <w:pStyle w:val="Testonotaapidipagina"/>
        <w:jc w:val="both"/>
        <w:rPr>
          <w:sz w:val="18"/>
          <w:szCs w:val="18"/>
          <w:lang w:val="it-IT"/>
        </w:rPr>
      </w:pPr>
      <w:r w:rsidRPr="00361047">
        <w:rPr>
          <w:rStyle w:val="Rimandonotaapidipagina"/>
          <w:sz w:val="18"/>
          <w:szCs w:val="18"/>
        </w:rPr>
        <w:footnoteRef/>
      </w:r>
      <w:r w:rsidRPr="00361047">
        <w:rPr>
          <w:sz w:val="18"/>
          <w:szCs w:val="18"/>
          <w:lang w:val="it-IT"/>
        </w:rPr>
        <w:t xml:space="preserve"> </w:t>
      </w:r>
      <w:r w:rsidR="00A90086" w:rsidRPr="00361047">
        <w:rPr>
          <w:sz w:val="18"/>
          <w:szCs w:val="18"/>
          <w:lang w:val="it-IT"/>
        </w:rPr>
        <w:t xml:space="preserve">Direttiva 2001/55/Ce, </w:t>
      </w:r>
      <w:r w:rsidR="00A90086" w:rsidRPr="00361047">
        <w:rPr>
          <w:i/>
          <w:iCs/>
          <w:sz w:val="18"/>
          <w:szCs w:val="18"/>
          <w:lang w:val="it-IT"/>
        </w:rPr>
        <w:t>Norme minime per la concessione della protezione temporanea in caso di afflusso massiccio di sfollati e sulla promozione dell’equilibrio degli sforzi tra gli stati membri che ricevono sfollati e subiscono le conseguenze dell’accoglienza degli stessi</w:t>
      </w:r>
      <w:r w:rsidR="00A90086" w:rsidRPr="00361047">
        <w:rPr>
          <w:sz w:val="18"/>
          <w:szCs w:val="18"/>
          <w:lang w:val="it-IT"/>
        </w:rPr>
        <w:t xml:space="preserve">, GUUE 10 luglio 2001, l. 187, pp. 45 ss.; direttiva 2013/32/Ue del 26 giugno 2013 </w:t>
      </w:r>
      <w:r w:rsidR="00A90086" w:rsidRPr="00361047">
        <w:rPr>
          <w:i/>
          <w:iCs/>
          <w:sz w:val="18"/>
          <w:szCs w:val="18"/>
          <w:lang w:val="it-IT"/>
        </w:rPr>
        <w:t>recante procedure comuni ai fini del riconoscimento e della revoca dello status di protezione internazionale</w:t>
      </w:r>
      <w:r w:rsidR="00A90086" w:rsidRPr="00361047">
        <w:rPr>
          <w:sz w:val="18"/>
          <w:szCs w:val="18"/>
          <w:lang w:val="it-IT"/>
        </w:rPr>
        <w:t xml:space="preserve">, GUCE 29 giugno 2013 l. 180, pp. 60-95; direttiva 2013/33/Ue del 26 giugno 2013 </w:t>
      </w:r>
      <w:r w:rsidR="00A90086" w:rsidRPr="00361047">
        <w:rPr>
          <w:i/>
          <w:iCs/>
          <w:sz w:val="18"/>
          <w:szCs w:val="18"/>
          <w:lang w:val="it-IT"/>
        </w:rPr>
        <w:t>recante orme relative all’accoglienza dei richiedenti protezione internazionale</w:t>
      </w:r>
      <w:r w:rsidR="00A90086" w:rsidRPr="00361047">
        <w:rPr>
          <w:sz w:val="18"/>
          <w:szCs w:val="18"/>
          <w:lang w:val="it-IT"/>
        </w:rPr>
        <w:t xml:space="preserve">, GUCE 29 giugno 2013 L 180, pp. 96-116; direttiva 2011/95/Ue del 13 dicembre 2011 </w:t>
      </w:r>
      <w:r w:rsidR="00A90086" w:rsidRPr="00361047">
        <w:rPr>
          <w:i/>
          <w:iCs/>
          <w:sz w:val="18"/>
          <w:szCs w:val="18"/>
          <w:lang w:val="it-IT"/>
        </w:rPr>
        <w:t>recante norme sull’attribuzione, a cittadini di paesi terzi o apolidi, della qualifica di beneficiario di protezione internazionale, su uno status uniforme per i rifugiati o per le persone aventi titolo a beneficiare della protezione sussidiaria, nonché sul contenuto della protezione riconosciuta</w:t>
      </w:r>
      <w:r w:rsidR="00A90086" w:rsidRPr="00361047">
        <w:rPr>
          <w:sz w:val="18"/>
          <w:szCs w:val="18"/>
          <w:lang w:val="it-IT"/>
        </w:rPr>
        <w:t xml:space="preserve">, GUCE 20 dicembre 2011, l. 337, pp. 9 ss.; Regolamento 604/2013 del 26 giugno 2013 </w:t>
      </w:r>
      <w:r w:rsidR="00A90086" w:rsidRPr="00361047">
        <w:rPr>
          <w:i/>
          <w:iCs/>
          <w:sz w:val="18"/>
          <w:szCs w:val="18"/>
          <w:lang w:val="it-IT"/>
        </w:rPr>
        <w:t>che stabilisce i criteri e i meccanismi di determinazione dello Stato membro competente per l’esame di una domanda di protezione internazionale presentata in uno degli Stati</w:t>
      </w:r>
      <w:r w:rsidR="00A90086" w:rsidRPr="00361047">
        <w:rPr>
          <w:sz w:val="18"/>
          <w:szCs w:val="18"/>
          <w:lang w:val="it-IT"/>
        </w:rPr>
        <w:t xml:space="preserve">, GUCE 29 giugno 2013, l. 180, pp. 31-59. F. Cherubini, </w:t>
      </w:r>
      <w:proofErr w:type="spellStart"/>
      <w:r w:rsidR="00A90086" w:rsidRPr="00361047">
        <w:rPr>
          <w:i/>
          <w:iCs/>
          <w:sz w:val="18"/>
          <w:szCs w:val="18"/>
          <w:lang w:val="it-IT"/>
        </w:rPr>
        <w:t>Asylum</w:t>
      </w:r>
      <w:proofErr w:type="spellEnd"/>
      <w:r w:rsidR="00A90086" w:rsidRPr="00361047">
        <w:rPr>
          <w:i/>
          <w:iCs/>
          <w:sz w:val="18"/>
          <w:szCs w:val="18"/>
          <w:lang w:val="it-IT"/>
        </w:rPr>
        <w:t xml:space="preserve"> Law in the </w:t>
      </w:r>
      <w:proofErr w:type="spellStart"/>
      <w:r w:rsidR="00A90086" w:rsidRPr="00361047">
        <w:rPr>
          <w:i/>
          <w:iCs/>
          <w:sz w:val="18"/>
          <w:szCs w:val="18"/>
          <w:lang w:val="it-IT"/>
        </w:rPr>
        <w:t>European</w:t>
      </w:r>
      <w:proofErr w:type="spellEnd"/>
      <w:r w:rsidR="00A90086" w:rsidRPr="00361047">
        <w:rPr>
          <w:i/>
          <w:iCs/>
          <w:sz w:val="18"/>
          <w:szCs w:val="18"/>
          <w:lang w:val="it-IT"/>
        </w:rPr>
        <w:t xml:space="preserve"> Union</w:t>
      </w:r>
      <w:r w:rsidR="00A90086" w:rsidRPr="00361047">
        <w:rPr>
          <w:sz w:val="18"/>
          <w:szCs w:val="18"/>
          <w:lang w:val="it-IT"/>
        </w:rPr>
        <w:t>, 2015, London.</w:t>
      </w:r>
    </w:p>
  </w:footnote>
  <w:footnote w:id="3">
    <w:p w14:paraId="72D7D53E" w14:textId="715FFDF8" w:rsidR="00845990" w:rsidRPr="00361047" w:rsidRDefault="00845990" w:rsidP="003A0716">
      <w:pPr>
        <w:pStyle w:val="Rientrocorpodeltesto"/>
        <w:spacing w:after="0"/>
        <w:ind w:left="0"/>
        <w:jc w:val="both"/>
        <w:rPr>
          <w:color w:val="000000"/>
          <w:sz w:val="18"/>
          <w:szCs w:val="18"/>
          <w:lang w:val="it-IT"/>
        </w:rPr>
      </w:pPr>
      <w:r w:rsidRPr="00361047">
        <w:rPr>
          <w:rStyle w:val="Rimandonotaapidipagina"/>
          <w:sz w:val="18"/>
          <w:szCs w:val="18"/>
        </w:rPr>
        <w:footnoteRef/>
      </w:r>
      <w:r w:rsidRPr="00361047">
        <w:rPr>
          <w:color w:val="000000"/>
          <w:sz w:val="18"/>
          <w:szCs w:val="18"/>
          <w:lang w:val="it-IT"/>
        </w:rPr>
        <w:t xml:space="preserve"> </w:t>
      </w:r>
      <w:r w:rsidR="003A0716" w:rsidRPr="00361047">
        <w:rPr>
          <w:color w:val="000000"/>
          <w:sz w:val="18"/>
          <w:szCs w:val="18"/>
          <w:lang w:val="it-IT"/>
        </w:rPr>
        <w:t>Si vedano i Protocolli allegati ai Trattati ed in particolare il Protocollo n. 21 sulla posizione del Regno Unito e dell’Irlanda rispetto allo spazio di libertà, sicurezza e giustizia ed il Protocollo n. 22 sulla posizione della Danimarca.</w:t>
      </w:r>
    </w:p>
  </w:footnote>
  <w:footnote w:id="4">
    <w:p w14:paraId="72D7D53F" w14:textId="4AF65C23" w:rsidR="00845990" w:rsidRPr="00361047" w:rsidRDefault="00845990" w:rsidP="00D02E82">
      <w:pPr>
        <w:spacing w:after="0" w:line="240" w:lineRule="auto"/>
        <w:jc w:val="both"/>
        <w:rPr>
          <w:rFonts w:ascii="Times New Roman" w:hAnsi="Times New Roman" w:cs="Times New Roman"/>
          <w:sz w:val="18"/>
          <w:szCs w:val="18"/>
          <w:lang w:val="it-IT"/>
        </w:rPr>
      </w:pPr>
      <w:r w:rsidRPr="00361047">
        <w:rPr>
          <w:rStyle w:val="Rimandonotaapidipagina"/>
          <w:rFonts w:ascii="Times New Roman" w:hAnsi="Times New Roman" w:cs="Times New Roman"/>
          <w:sz w:val="18"/>
          <w:szCs w:val="18"/>
        </w:rPr>
        <w:footnoteRef/>
      </w:r>
      <w:r w:rsidRPr="00361047">
        <w:rPr>
          <w:rFonts w:ascii="Times New Roman" w:hAnsi="Times New Roman" w:cs="Times New Roman"/>
          <w:sz w:val="18"/>
          <w:szCs w:val="18"/>
          <w:lang w:val="it-IT"/>
        </w:rPr>
        <w:t xml:space="preserve"> </w:t>
      </w:r>
      <w:r w:rsidR="00D02E82" w:rsidRPr="00361047">
        <w:rPr>
          <w:rFonts w:ascii="Times New Roman" w:hAnsi="Times New Roman" w:cs="Times New Roman"/>
          <w:sz w:val="18"/>
          <w:szCs w:val="18"/>
          <w:lang w:val="it-IT"/>
        </w:rPr>
        <w:t xml:space="preserve">Come in qualsiasi materia, sono orientamenti politici generali adottati per consensus dal Consiglio europeo a tracciare la traiettoria nella quale le altre istituzioni politiche devono necessariamente muoversi. Sono stati così adottati i programmi di Tampere (1999-2004); dell’Aja (2004-2009); di Stoccolma (2009-2014) e le Strategie di sviluppo dell’area di Libertà, sicurezza e giustizia (2014-2019) approvate il 27 giugno 2014; infine il 13 maggio 2015 è stata adottata l’Agenda per l’immigrazione </w:t>
      </w:r>
      <w:proofErr w:type="gramStart"/>
      <w:r w:rsidR="00662288" w:rsidRPr="00361047">
        <w:rPr>
          <w:rFonts w:ascii="Times New Roman" w:hAnsi="Times New Roman" w:cs="Times New Roman"/>
          <w:sz w:val="18"/>
          <w:szCs w:val="18"/>
          <w:lang w:val="it-IT"/>
        </w:rPr>
        <w:t>COM(</w:t>
      </w:r>
      <w:proofErr w:type="gramEnd"/>
      <w:r w:rsidR="00662288" w:rsidRPr="00361047">
        <w:rPr>
          <w:rFonts w:ascii="Times New Roman" w:hAnsi="Times New Roman" w:cs="Times New Roman"/>
          <w:sz w:val="18"/>
          <w:szCs w:val="18"/>
          <w:lang w:val="it-IT"/>
        </w:rPr>
        <w:t xml:space="preserve">2015)240 </w:t>
      </w:r>
      <w:r w:rsidR="00D02E82" w:rsidRPr="00361047">
        <w:rPr>
          <w:rFonts w:ascii="Times New Roman" w:hAnsi="Times New Roman" w:cs="Times New Roman"/>
          <w:sz w:val="18"/>
          <w:szCs w:val="18"/>
          <w:lang w:val="it-IT"/>
        </w:rPr>
        <w:t>che ha definito la strategia delle politiche di immigrazione e asilo della Commissione Juncker, fatta propria dal Consiglio europeo</w:t>
      </w:r>
      <w:r w:rsidR="00662288" w:rsidRPr="00361047">
        <w:rPr>
          <w:rFonts w:ascii="Times New Roman" w:hAnsi="Times New Roman" w:cs="Times New Roman"/>
          <w:sz w:val="18"/>
          <w:szCs w:val="18"/>
          <w:lang w:val="it-IT"/>
        </w:rPr>
        <w:t>.</w:t>
      </w:r>
    </w:p>
  </w:footnote>
  <w:footnote w:id="5">
    <w:p w14:paraId="72D7D540" w14:textId="3A7BB1F6" w:rsidR="00845990" w:rsidRPr="00361047" w:rsidRDefault="00845990" w:rsidP="00226981">
      <w:pPr>
        <w:pStyle w:val="Rientrocorpodeltesto"/>
        <w:spacing w:after="0"/>
        <w:ind w:left="0"/>
        <w:jc w:val="both"/>
        <w:rPr>
          <w:sz w:val="18"/>
          <w:szCs w:val="18"/>
          <w:lang w:val="it-IT"/>
        </w:rPr>
      </w:pPr>
      <w:r w:rsidRPr="00361047">
        <w:rPr>
          <w:rStyle w:val="Rimandonotaapidipagina"/>
          <w:sz w:val="18"/>
          <w:szCs w:val="18"/>
        </w:rPr>
        <w:footnoteRef/>
      </w:r>
      <w:r w:rsidRPr="00361047">
        <w:rPr>
          <w:sz w:val="18"/>
          <w:szCs w:val="18"/>
          <w:lang w:val="it-IT"/>
        </w:rPr>
        <w:t xml:space="preserve"> </w:t>
      </w:r>
      <w:r w:rsidR="006C5A6C" w:rsidRPr="00361047">
        <w:rPr>
          <w:sz w:val="18"/>
          <w:szCs w:val="18"/>
          <w:lang w:val="it-IT"/>
        </w:rPr>
        <w:t xml:space="preserve">G. Campesi, </w:t>
      </w:r>
      <w:r w:rsidRPr="00361047">
        <w:rPr>
          <w:i/>
          <w:sz w:val="18"/>
          <w:szCs w:val="18"/>
          <w:lang w:val="it-IT"/>
        </w:rPr>
        <w:t>Polizia della frontiera. Frontex e la produzione dello spazio europeo</w:t>
      </w:r>
      <w:r w:rsidRPr="00361047">
        <w:rPr>
          <w:sz w:val="18"/>
          <w:szCs w:val="18"/>
          <w:lang w:val="it-IT"/>
        </w:rPr>
        <w:t xml:space="preserve">, Rome, 2015; </w:t>
      </w:r>
      <w:r w:rsidR="006C5A6C" w:rsidRPr="00361047">
        <w:rPr>
          <w:sz w:val="18"/>
          <w:szCs w:val="18"/>
          <w:lang w:val="it-IT"/>
        </w:rPr>
        <w:t xml:space="preserve">M. </w:t>
      </w:r>
      <w:r w:rsidRPr="00361047">
        <w:rPr>
          <w:sz w:val="18"/>
          <w:szCs w:val="18"/>
          <w:lang w:val="it-IT"/>
        </w:rPr>
        <w:t>SAVINO (</w:t>
      </w:r>
      <w:r w:rsidR="006C5A6C" w:rsidRPr="00361047">
        <w:rPr>
          <w:sz w:val="18"/>
          <w:szCs w:val="18"/>
          <w:lang w:val="it-IT"/>
        </w:rPr>
        <w:t>a cura di</w:t>
      </w:r>
      <w:r w:rsidRPr="00361047">
        <w:rPr>
          <w:sz w:val="18"/>
          <w:szCs w:val="18"/>
          <w:lang w:val="it-IT"/>
        </w:rPr>
        <w:t xml:space="preserve">), </w:t>
      </w:r>
      <w:r w:rsidRPr="00361047">
        <w:rPr>
          <w:i/>
          <w:sz w:val="18"/>
          <w:szCs w:val="18"/>
          <w:lang w:val="it-IT"/>
        </w:rPr>
        <w:t>La crisi migratoria tra Italia e Unione europea</w:t>
      </w:r>
      <w:r w:rsidRPr="00361047">
        <w:rPr>
          <w:sz w:val="18"/>
          <w:szCs w:val="18"/>
          <w:lang w:val="it-IT"/>
        </w:rPr>
        <w:t>, Napoli, Editoriale scientifica, 2017.</w:t>
      </w:r>
    </w:p>
  </w:footnote>
  <w:footnote w:id="6">
    <w:p w14:paraId="6F34A894" w14:textId="77777777" w:rsidR="00845990" w:rsidRPr="00361047" w:rsidRDefault="00845990" w:rsidP="00830B34">
      <w:pPr>
        <w:pStyle w:val="Testonotaapidipagina"/>
        <w:spacing w:line="200" w:lineRule="exact"/>
        <w:jc w:val="both"/>
        <w:rPr>
          <w:sz w:val="18"/>
          <w:szCs w:val="18"/>
          <w:lang w:val="it-IT"/>
        </w:rPr>
      </w:pPr>
      <w:r w:rsidRPr="00361047">
        <w:rPr>
          <w:rStyle w:val="Rimandonotaapidipagina"/>
          <w:sz w:val="18"/>
          <w:szCs w:val="18"/>
        </w:rPr>
        <w:footnoteRef/>
      </w:r>
      <w:r w:rsidRPr="00361047">
        <w:rPr>
          <w:sz w:val="18"/>
          <w:szCs w:val="18"/>
          <w:lang w:val="it-IT"/>
        </w:rPr>
        <w:t xml:space="preserve"> </w:t>
      </w:r>
      <w:proofErr w:type="gramStart"/>
      <w:r w:rsidRPr="00361047">
        <w:rPr>
          <w:sz w:val="18"/>
          <w:szCs w:val="18"/>
          <w:lang w:val="it-IT"/>
        </w:rPr>
        <w:t>COM(</w:t>
      </w:r>
      <w:proofErr w:type="gramEnd"/>
      <w:r w:rsidRPr="00361047">
        <w:rPr>
          <w:sz w:val="18"/>
          <w:szCs w:val="18"/>
          <w:lang w:val="it-IT"/>
        </w:rPr>
        <w:t xml:space="preserve">2014)382 del 26 giugno 2014, che modifica il regolamento (UE) n. 604/2013 </w:t>
      </w:r>
      <w:r w:rsidRPr="00361047">
        <w:rPr>
          <w:i/>
          <w:sz w:val="18"/>
          <w:szCs w:val="18"/>
          <w:lang w:val="it-IT"/>
        </w:rPr>
        <w:t>per quanto riguarda la determinazione dello Stato membro competente per l'esame di una domanda di protezione internazionale presentata da un minore non accompagnato che non ha familiari, fratelli o parenti presenti legalmente in uno Stato membro</w:t>
      </w:r>
      <w:r w:rsidRPr="00361047">
        <w:rPr>
          <w:sz w:val="18"/>
          <w:szCs w:val="18"/>
          <w:lang w:val="it-IT"/>
        </w:rPr>
        <w:t>.</w:t>
      </w:r>
    </w:p>
  </w:footnote>
  <w:footnote w:id="7">
    <w:p w14:paraId="52341779" w14:textId="6C4F0E9D" w:rsidR="00845990" w:rsidRPr="00361047" w:rsidRDefault="00845990" w:rsidP="00830B34">
      <w:pPr>
        <w:pStyle w:val="Testonotaapidipagina"/>
        <w:spacing w:line="200" w:lineRule="exact"/>
        <w:rPr>
          <w:sz w:val="18"/>
          <w:szCs w:val="18"/>
          <w:lang w:val="it-IT"/>
        </w:rPr>
      </w:pPr>
      <w:r w:rsidRPr="00361047">
        <w:rPr>
          <w:rStyle w:val="Rimandonotaapidipagina"/>
          <w:sz w:val="18"/>
          <w:szCs w:val="18"/>
        </w:rPr>
        <w:footnoteRef/>
      </w:r>
      <w:r w:rsidRPr="00361047">
        <w:rPr>
          <w:sz w:val="18"/>
          <w:szCs w:val="18"/>
          <w:lang w:val="it-IT"/>
        </w:rPr>
        <w:t xml:space="preserve"> Corte di giustizia, sentenza del 6 giugno 2013, </w:t>
      </w:r>
      <w:r w:rsidRPr="00361047">
        <w:rPr>
          <w:i/>
          <w:sz w:val="18"/>
          <w:szCs w:val="18"/>
          <w:lang w:val="it-IT"/>
        </w:rPr>
        <w:t>M.A., B.T., D.A.</w:t>
      </w:r>
      <w:r w:rsidRPr="00361047">
        <w:rPr>
          <w:sz w:val="18"/>
          <w:szCs w:val="18"/>
          <w:lang w:val="it-IT"/>
        </w:rPr>
        <w:t>, C-648/11</w:t>
      </w:r>
      <w:r w:rsidR="009F0C71" w:rsidRPr="00361047">
        <w:rPr>
          <w:sz w:val="18"/>
          <w:szCs w:val="18"/>
          <w:lang w:val="it-IT"/>
        </w:rPr>
        <w:t>, ECLI:EU:C:2013:367.</w:t>
      </w:r>
    </w:p>
  </w:footnote>
  <w:footnote w:id="8">
    <w:p w14:paraId="33755167" w14:textId="00B749AB" w:rsidR="00845990" w:rsidRPr="00361047" w:rsidRDefault="00845990" w:rsidP="00830B34">
      <w:pPr>
        <w:pStyle w:val="Nessunaspaziatura"/>
        <w:spacing w:line="200" w:lineRule="exact"/>
        <w:jc w:val="both"/>
        <w:rPr>
          <w:rFonts w:ascii="Times New Roman" w:hAnsi="Times New Roman" w:cs="Times New Roman"/>
          <w:sz w:val="18"/>
          <w:szCs w:val="18"/>
          <w:lang w:val="it-IT"/>
        </w:rPr>
      </w:pPr>
      <w:r w:rsidRPr="00361047">
        <w:rPr>
          <w:rStyle w:val="Rimandonotaapidipagina"/>
          <w:rFonts w:ascii="Times New Roman" w:hAnsi="Times New Roman" w:cs="Times New Roman"/>
          <w:sz w:val="18"/>
          <w:szCs w:val="18"/>
        </w:rPr>
        <w:footnoteRef/>
      </w:r>
      <w:r w:rsidRPr="00361047">
        <w:rPr>
          <w:rFonts w:ascii="Times New Roman" w:hAnsi="Times New Roman" w:cs="Times New Roman"/>
          <w:sz w:val="18"/>
          <w:szCs w:val="18"/>
          <w:lang w:val="it-IT"/>
        </w:rPr>
        <w:t xml:space="preserve"> A. Del Guercio, </w:t>
      </w:r>
      <w:r w:rsidRPr="00361047">
        <w:rPr>
          <w:rFonts w:ascii="Times New Roman" w:hAnsi="Times New Roman" w:cs="Times New Roman"/>
          <w:i/>
          <w:iCs/>
          <w:sz w:val="18"/>
          <w:szCs w:val="18"/>
          <w:lang w:val="it-IT"/>
        </w:rPr>
        <w:t>Superiore interesse del minore e determinazione dello Stato competente all'esame della domanda di asilo nel diritto dell'Unione Europea</w:t>
      </w:r>
      <w:r w:rsidRPr="00361047">
        <w:rPr>
          <w:rFonts w:ascii="Times New Roman" w:hAnsi="Times New Roman" w:cs="Times New Roman"/>
          <w:sz w:val="18"/>
          <w:szCs w:val="18"/>
          <w:lang w:val="it-IT"/>
        </w:rPr>
        <w:t xml:space="preserve">, in </w:t>
      </w:r>
      <w:r w:rsidRPr="00361047">
        <w:rPr>
          <w:rFonts w:ascii="Times New Roman" w:hAnsi="Times New Roman" w:cs="Times New Roman"/>
          <w:i/>
          <w:iCs/>
          <w:sz w:val="18"/>
          <w:szCs w:val="18"/>
          <w:lang w:val="it-IT"/>
        </w:rPr>
        <w:t>Diritti umani e diritto internazionale</w:t>
      </w:r>
      <w:r w:rsidRPr="00361047">
        <w:rPr>
          <w:rFonts w:ascii="Times New Roman" w:hAnsi="Times New Roman" w:cs="Times New Roman"/>
          <w:sz w:val="18"/>
          <w:szCs w:val="18"/>
          <w:lang w:val="it-IT"/>
        </w:rPr>
        <w:t>, 2014, pp. 243-248.</w:t>
      </w:r>
    </w:p>
  </w:footnote>
  <w:footnote w:id="9">
    <w:p w14:paraId="36C0AB18" w14:textId="77777777" w:rsidR="00845990" w:rsidRPr="00361047" w:rsidRDefault="00845990" w:rsidP="00830B34">
      <w:pPr>
        <w:pStyle w:val="Testonotaapidipagina"/>
        <w:spacing w:line="200" w:lineRule="exact"/>
        <w:rPr>
          <w:sz w:val="18"/>
          <w:szCs w:val="18"/>
          <w:lang w:val="it-IT"/>
        </w:rPr>
      </w:pPr>
      <w:r w:rsidRPr="00361047">
        <w:rPr>
          <w:rStyle w:val="Rimandonotaapidipagina"/>
          <w:sz w:val="18"/>
          <w:szCs w:val="18"/>
        </w:rPr>
        <w:footnoteRef/>
      </w:r>
      <w:r w:rsidRPr="00361047">
        <w:rPr>
          <w:sz w:val="18"/>
          <w:szCs w:val="18"/>
          <w:lang w:val="it-IT"/>
        </w:rPr>
        <w:t xml:space="preserve"> Corte di giustizia, </w:t>
      </w:r>
      <w:r w:rsidRPr="00361047">
        <w:rPr>
          <w:i/>
          <w:sz w:val="18"/>
          <w:szCs w:val="18"/>
          <w:lang w:val="it-IT"/>
        </w:rPr>
        <w:t>M.A.</w:t>
      </w:r>
      <w:r w:rsidRPr="00361047">
        <w:rPr>
          <w:sz w:val="18"/>
          <w:szCs w:val="18"/>
          <w:lang w:val="it-IT"/>
        </w:rPr>
        <w:t>, cit., par. 59.</w:t>
      </w:r>
    </w:p>
  </w:footnote>
  <w:footnote w:id="10">
    <w:p w14:paraId="37BA9382" w14:textId="058C017F" w:rsidR="00845990" w:rsidRPr="00361047" w:rsidRDefault="00845990" w:rsidP="00E52A7E">
      <w:pPr>
        <w:pStyle w:val="Testonotaapidipagina"/>
        <w:jc w:val="both"/>
        <w:rPr>
          <w:sz w:val="18"/>
          <w:szCs w:val="18"/>
          <w:lang w:val="it-IT"/>
        </w:rPr>
      </w:pPr>
      <w:r w:rsidRPr="00361047">
        <w:rPr>
          <w:rStyle w:val="Rimandonotaapidipagina"/>
          <w:sz w:val="18"/>
          <w:szCs w:val="18"/>
        </w:rPr>
        <w:footnoteRef/>
      </w:r>
      <w:r w:rsidRPr="00361047">
        <w:rPr>
          <w:sz w:val="18"/>
          <w:szCs w:val="18"/>
          <w:lang w:val="it-IT"/>
        </w:rPr>
        <w:t xml:space="preserve"> </w:t>
      </w:r>
      <w:proofErr w:type="gramStart"/>
      <w:r w:rsidR="00E52A7E" w:rsidRPr="00361047">
        <w:rPr>
          <w:sz w:val="18"/>
          <w:szCs w:val="18"/>
          <w:lang w:val="it-IT"/>
        </w:rPr>
        <w:t>COM(</w:t>
      </w:r>
      <w:proofErr w:type="gramEnd"/>
      <w:r w:rsidR="00E52A7E" w:rsidRPr="00361047">
        <w:rPr>
          <w:sz w:val="18"/>
          <w:szCs w:val="18"/>
          <w:lang w:val="it-IT"/>
        </w:rPr>
        <w:t xml:space="preserve">2016)270 del </w:t>
      </w:r>
      <w:r w:rsidRPr="00361047">
        <w:rPr>
          <w:sz w:val="18"/>
          <w:szCs w:val="18"/>
          <w:lang w:val="it-IT"/>
        </w:rPr>
        <w:t xml:space="preserve">4 </w:t>
      </w:r>
      <w:r w:rsidR="00E52A7E" w:rsidRPr="00361047">
        <w:rPr>
          <w:sz w:val="18"/>
          <w:szCs w:val="18"/>
          <w:lang w:val="it-IT"/>
        </w:rPr>
        <w:t xml:space="preserve">maggio 2016, </w:t>
      </w:r>
      <w:r w:rsidR="00E52A7E" w:rsidRPr="00361047">
        <w:rPr>
          <w:i/>
          <w:iCs/>
          <w:sz w:val="18"/>
          <w:szCs w:val="18"/>
          <w:lang w:val="it-IT"/>
        </w:rPr>
        <w:t xml:space="preserve">Proposta di regolamento del Parlamento europeo e del Consiglio </w:t>
      </w:r>
      <w:r w:rsidRPr="00361047">
        <w:rPr>
          <w:i/>
          <w:iCs/>
          <w:sz w:val="18"/>
          <w:szCs w:val="18"/>
          <w:lang w:val="it-IT"/>
        </w:rPr>
        <w:t>che stabilisce i criteri e i meccanismi di determinazione dello Stato membro competente per l’esame di una domanda di protezione internazionale presentata in uno degli Stati membri da un cittadino di  paese terzo o da un apolide (rifusione)</w:t>
      </w:r>
      <w:r w:rsidRPr="00361047">
        <w:rPr>
          <w:sz w:val="18"/>
          <w:szCs w:val="18"/>
          <w:lang w:val="it-IT"/>
        </w:rPr>
        <w:t>, p. 5.</w:t>
      </w:r>
    </w:p>
  </w:footnote>
  <w:footnote w:id="11">
    <w:p w14:paraId="1FB8A407" w14:textId="3D0E4E09" w:rsidR="00E77809" w:rsidRPr="00361047" w:rsidRDefault="00E77809" w:rsidP="00E77809">
      <w:pPr>
        <w:pStyle w:val="Testonotaapidipagina"/>
        <w:jc w:val="both"/>
        <w:rPr>
          <w:sz w:val="18"/>
          <w:szCs w:val="18"/>
          <w:lang w:val="it-IT"/>
        </w:rPr>
      </w:pPr>
      <w:r w:rsidRPr="00361047">
        <w:rPr>
          <w:rStyle w:val="Rimandonotaapidipagina"/>
          <w:sz w:val="18"/>
          <w:szCs w:val="18"/>
        </w:rPr>
        <w:footnoteRef/>
      </w:r>
      <w:r w:rsidRPr="00361047">
        <w:rPr>
          <w:sz w:val="18"/>
          <w:szCs w:val="18"/>
          <w:lang w:val="it-IT"/>
        </w:rPr>
        <w:t xml:space="preserve"> Si veda, sempre sul regolamento Dublino e sull’interpretazione della clausola di discrezionalità in presenza di minori stranieri, la sentenza della Corte di giustizia del 23 gennaio 2019, </w:t>
      </w:r>
      <w:r w:rsidRPr="00361047">
        <w:rPr>
          <w:i/>
          <w:sz w:val="18"/>
          <w:szCs w:val="18"/>
          <w:lang w:val="it-IT"/>
        </w:rPr>
        <w:t>M.A.</w:t>
      </w:r>
      <w:r w:rsidRPr="00361047">
        <w:rPr>
          <w:sz w:val="18"/>
          <w:szCs w:val="18"/>
          <w:lang w:val="it-IT"/>
        </w:rPr>
        <w:t xml:space="preserve">, C-661/17, </w:t>
      </w:r>
      <w:r w:rsidR="00D43976" w:rsidRPr="00361047">
        <w:rPr>
          <w:sz w:val="18"/>
          <w:szCs w:val="18"/>
          <w:lang w:val="it-IT"/>
        </w:rPr>
        <w:t xml:space="preserve">ECLI:EU:C:2019:53, </w:t>
      </w:r>
      <w:r w:rsidRPr="00361047">
        <w:rPr>
          <w:sz w:val="18"/>
          <w:szCs w:val="18"/>
          <w:lang w:val="it-IT"/>
        </w:rPr>
        <w:t xml:space="preserve">commentata da M. Ferri, </w:t>
      </w:r>
      <w:r w:rsidRPr="00361047">
        <w:rPr>
          <w:i/>
          <w:sz w:val="18"/>
          <w:szCs w:val="18"/>
          <w:lang w:val="it-IT"/>
        </w:rPr>
        <w:t>Il rapporto tra clausola di sovranità e diritti fondamentali: riflessioni critiche a partire dalla sentenza della Corte di giustizia M.A., S.A., A.Z. sui trasferimenti Dublino verso il Regno Unito</w:t>
      </w:r>
      <w:r w:rsidRPr="00361047">
        <w:rPr>
          <w:sz w:val="18"/>
          <w:szCs w:val="18"/>
          <w:lang w:val="it-IT"/>
        </w:rPr>
        <w:t xml:space="preserve">, in </w:t>
      </w:r>
      <w:hyperlink r:id="rId1" w:history="1">
        <w:r w:rsidRPr="00361047">
          <w:rPr>
            <w:rStyle w:val="Collegamentoipertestuale"/>
            <w:sz w:val="18"/>
            <w:szCs w:val="18"/>
            <w:lang w:val="it-IT"/>
          </w:rPr>
          <w:t>http://www.osservatoriosullefonti.it</w:t>
        </w:r>
      </w:hyperlink>
      <w:r w:rsidRPr="00361047">
        <w:rPr>
          <w:sz w:val="18"/>
          <w:szCs w:val="18"/>
          <w:lang w:val="it-IT"/>
        </w:rPr>
        <w:t>, n. 1/2019.</w:t>
      </w:r>
    </w:p>
  </w:footnote>
  <w:footnote w:id="12">
    <w:p w14:paraId="19A99E01" w14:textId="77777777" w:rsidR="009D53D9" w:rsidRPr="00361047" w:rsidRDefault="009D53D9" w:rsidP="009D53D9">
      <w:pPr>
        <w:pStyle w:val="Testonotaapidipagina"/>
        <w:jc w:val="both"/>
        <w:rPr>
          <w:sz w:val="18"/>
          <w:szCs w:val="18"/>
          <w:lang w:val="it-IT"/>
        </w:rPr>
      </w:pPr>
      <w:r w:rsidRPr="00361047">
        <w:rPr>
          <w:rStyle w:val="Rimandonotaapidipagina"/>
          <w:sz w:val="18"/>
          <w:szCs w:val="18"/>
        </w:rPr>
        <w:footnoteRef/>
      </w:r>
      <w:r w:rsidRPr="00361047">
        <w:rPr>
          <w:sz w:val="18"/>
          <w:szCs w:val="18"/>
          <w:lang w:val="it-IT"/>
        </w:rPr>
        <w:t xml:space="preserve"> Si permetta il rinvio a quanto già rilevato in materia di disciplina del ricongiungimento familiare in </w:t>
      </w:r>
      <w:r w:rsidRPr="00361047">
        <w:rPr>
          <w:i/>
          <w:iCs/>
          <w:sz w:val="18"/>
          <w:szCs w:val="18"/>
          <w:lang w:val="it-IT"/>
        </w:rPr>
        <w:t>La direttiva 2003/86/CE sul ricongiungimento familiare e le due corti europee</w:t>
      </w:r>
      <w:r w:rsidRPr="00361047">
        <w:rPr>
          <w:sz w:val="18"/>
          <w:szCs w:val="18"/>
          <w:lang w:val="it-IT"/>
        </w:rPr>
        <w:t xml:space="preserve">, in G. Bronzini, F. Piccone (a cura di), </w:t>
      </w:r>
      <w:r w:rsidRPr="00361047">
        <w:rPr>
          <w:i/>
          <w:iCs/>
          <w:sz w:val="18"/>
          <w:szCs w:val="18"/>
          <w:lang w:val="it-IT"/>
        </w:rPr>
        <w:t>La Carta e le Corti</w:t>
      </w:r>
      <w:r w:rsidRPr="00361047">
        <w:rPr>
          <w:sz w:val="18"/>
          <w:szCs w:val="18"/>
          <w:lang w:val="it-IT"/>
        </w:rPr>
        <w:t>, Taranto, 2007, pp. 375-392.</w:t>
      </w:r>
    </w:p>
  </w:footnote>
  <w:footnote w:id="13">
    <w:p w14:paraId="231CFBEE" w14:textId="7028547B" w:rsidR="008E33F5" w:rsidRPr="00361047" w:rsidRDefault="008E33F5" w:rsidP="00BE4022">
      <w:pPr>
        <w:pStyle w:val="Testonotaapidipagina"/>
        <w:jc w:val="both"/>
        <w:rPr>
          <w:sz w:val="18"/>
          <w:szCs w:val="18"/>
          <w:lang w:val="it-IT"/>
        </w:rPr>
      </w:pPr>
      <w:r w:rsidRPr="00361047">
        <w:rPr>
          <w:rStyle w:val="Rimandonotaapidipagina"/>
          <w:sz w:val="18"/>
          <w:szCs w:val="18"/>
        </w:rPr>
        <w:footnoteRef/>
      </w:r>
      <w:r w:rsidR="00173380" w:rsidRPr="00361047">
        <w:rPr>
          <w:sz w:val="18"/>
          <w:szCs w:val="18"/>
          <w:lang w:val="it-IT"/>
        </w:rPr>
        <w:t>C</w:t>
      </w:r>
      <w:r w:rsidR="00857F41" w:rsidRPr="00361047">
        <w:rPr>
          <w:sz w:val="18"/>
          <w:szCs w:val="18"/>
          <w:lang w:val="it-IT"/>
        </w:rPr>
        <w:t>orte di giustizia</w:t>
      </w:r>
      <w:r w:rsidR="00173380" w:rsidRPr="00361047">
        <w:rPr>
          <w:sz w:val="18"/>
          <w:szCs w:val="18"/>
          <w:lang w:val="it-IT"/>
        </w:rPr>
        <w:t>,</w:t>
      </w:r>
      <w:r w:rsidR="00857F41" w:rsidRPr="00361047">
        <w:rPr>
          <w:sz w:val="18"/>
          <w:szCs w:val="18"/>
          <w:lang w:val="it-IT"/>
        </w:rPr>
        <w:t xml:space="preserve"> sentenza del </w:t>
      </w:r>
      <w:r w:rsidR="00173380" w:rsidRPr="00361047">
        <w:rPr>
          <w:sz w:val="18"/>
          <w:szCs w:val="18"/>
          <w:lang w:val="it-IT"/>
        </w:rPr>
        <w:t xml:space="preserve">26 </w:t>
      </w:r>
      <w:r w:rsidR="00F341DB" w:rsidRPr="00361047">
        <w:rPr>
          <w:sz w:val="18"/>
          <w:szCs w:val="18"/>
          <w:lang w:val="it-IT"/>
        </w:rPr>
        <w:t>febbraio</w:t>
      </w:r>
      <w:r w:rsidR="00173380" w:rsidRPr="00361047">
        <w:rPr>
          <w:sz w:val="18"/>
          <w:szCs w:val="18"/>
          <w:lang w:val="it-IT"/>
        </w:rPr>
        <w:t xml:space="preserve"> 2013, </w:t>
      </w:r>
      <w:r w:rsidR="00857F41" w:rsidRPr="00361047">
        <w:rPr>
          <w:i/>
          <w:iCs/>
          <w:sz w:val="18"/>
          <w:szCs w:val="18"/>
          <w:lang w:val="it-IT"/>
        </w:rPr>
        <w:t>Melloni</w:t>
      </w:r>
      <w:r w:rsidR="00857F41" w:rsidRPr="00361047">
        <w:rPr>
          <w:sz w:val="18"/>
          <w:szCs w:val="18"/>
          <w:lang w:val="it-IT"/>
        </w:rPr>
        <w:t xml:space="preserve">, </w:t>
      </w:r>
      <w:r w:rsidR="004E0472" w:rsidRPr="00361047">
        <w:rPr>
          <w:sz w:val="18"/>
          <w:szCs w:val="18"/>
          <w:lang w:val="it-IT"/>
        </w:rPr>
        <w:t xml:space="preserve">C-399/11, </w:t>
      </w:r>
      <w:r w:rsidR="00173380" w:rsidRPr="00361047">
        <w:rPr>
          <w:sz w:val="18"/>
          <w:szCs w:val="18"/>
          <w:lang w:val="it-IT"/>
        </w:rPr>
        <w:t>ECLI:EU:C:2013:107, p</w:t>
      </w:r>
      <w:r w:rsidR="00F341DB" w:rsidRPr="00361047">
        <w:rPr>
          <w:sz w:val="18"/>
          <w:szCs w:val="18"/>
          <w:lang w:val="it-IT"/>
        </w:rPr>
        <w:t>unti</w:t>
      </w:r>
      <w:r w:rsidR="00173380" w:rsidRPr="00361047">
        <w:rPr>
          <w:sz w:val="18"/>
          <w:szCs w:val="18"/>
          <w:lang w:val="it-IT"/>
        </w:rPr>
        <w:t xml:space="preserve"> 62-63</w:t>
      </w:r>
      <w:r w:rsidR="004E0472" w:rsidRPr="00361047">
        <w:rPr>
          <w:sz w:val="18"/>
          <w:szCs w:val="18"/>
          <w:lang w:val="it-IT"/>
        </w:rPr>
        <w:t xml:space="preserve">. </w:t>
      </w:r>
      <w:r w:rsidR="003E3E0E" w:rsidRPr="00361047">
        <w:rPr>
          <w:sz w:val="18"/>
          <w:szCs w:val="18"/>
          <w:lang w:val="it-IT"/>
        </w:rPr>
        <w:t xml:space="preserve">Orientamento confermato anche </w:t>
      </w:r>
      <w:r w:rsidR="004E0472" w:rsidRPr="00361047">
        <w:rPr>
          <w:sz w:val="18"/>
          <w:szCs w:val="18"/>
          <w:lang w:val="it-IT"/>
        </w:rPr>
        <w:t xml:space="preserve">nella sentenza del 5 dicembre 2017, </w:t>
      </w:r>
      <w:r w:rsidR="00173380" w:rsidRPr="00361047">
        <w:rPr>
          <w:i/>
          <w:iCs/>
          <w:sz w:val="18"/>
          <w:szCs w:val="18"/>
          <w:lang w:val="it-IT"/>
        </w:rPr>
        <w:t>M.A.S. and M.B.</w:t>
      </w:r>
      <w:r w:rsidR="00173380" w:rsidRPr="00361047">
        <w:rPr>
          <w:sz w:val="18"/>
          <w:szCs w:val="18"/>
          <w:lang w:val="it-IT"/>
        </w:rPr>
        <w:t xml:space="preserve">, </w:t>
      </w:r>
      <w:r w:rsidR="004E0472" w:rsidRPr="00361047">
        <w:rPr>
          <w:sz w:val="18"/>
          <w:szCs w:val="18"/>
          <w:lang w:val="it-IT"/>
        </w:rPr>
        <w:t xml:space="preserve">C-42/17, </w:t>
      </w:r>
      <w:r w:rsidR="00F341DB" w:rsidRPr="00361047">
        <w:rPr>
          <w:sz w:val="18"/>
          <w:szCs w:val="18"/>
          <w:lang w:val="it-IT"/>
        </w:rPr>
        <w:t>punti</w:t>
      </w:r>
      <w:r w:rsidR="00173380" w:rsidRPr="00361047">
        <w:rPr>
          <w:sz w:val="18"/>
          <w:szCs w:val="18"/>
          <w:lang w:val="it-IT"/>
        </w:rPr>
        <w:t xml:space="preserve"> 45-46. </w:t>
      </w:r>
      <w:r w:rsidR="00BE4022" w:rsidRPr="00361047">
        <w:rPr>
          <w:sz w:val="18"/>
          <w:szCs w:val="18"/>
          <w:lang w:val="en-US"/>
        </w:rPr>
        <w:t xml:space="preserve">E. Muir, </w:t>
      </w:r>
      <w:r w:rsidR="00BE4022" w:rsidRPr="00361047">
        <w:rPr>
          <w:i/>
          <w:iCs/>
          <w:sz w:val="18"/>
          <w:szCs w:val="18"/>
          <w:lang w:val="en-US"/>
        </w:rPr>
        <w:t>The Fundamental Rights Implications of EU Legislation: Some Constitutional Challenges</w:t>
      </w:r>
      <w:r w:rsidR="00BE4022" w:rsidRPr="00361047">
        <w:rPr>
          <w:sz w:val="18"/>
          <w:szCs w:val="18"/>
          <w:lang w:val="en-US"/>
        </w:rPr>
        <w:t>, CMLR</w:t>
      </w:r>
      <w:r w:rsidR="00F341DB" w:rsidRPr="00361047">
        <w:rPr>
          <w:sz w:val="18"/>
          <w:szCs w:val="18"/>
          <w:lang w:val="en-US"/>
        </w:rPr>
        <w:t xml:space="preserve">, 2014, 1, </w:t>
      </w:r>
      <w:r w:rsidR="00BE4022" w:rsidRPr="00361047">
        <w:rPr>
          <w:sz w:val="18"/>
          <w:szCs w:val="18"/>
          <w:lang w:val="en-US"/>
        </w:rPr>
        <w:t xml:space="preserve">219-246; </w:t>
      </w:r>
      <w:r w:rsidR="00173380" w:rsidRPr="00361047">
        <w:rPr>
          <w:sz w:val="18"/>
          <w:szCs w:val="18"/>
          <w:lang w:val="en-US"/>
        </w:rPr>
        <w:t xml:space="preserve">A. Torres Pérez, </w:t>
      </w:r>
      <w:proofErr w:type="spellStart"/>
      <w:r w:rsidR="00173380" w:rsidRPr="00361047">
        <w:rPr>
          <w:i/>
          <w:iCs/>
          <w:sz w:val="18"/>
          <w:szCs w:val="18"/>
          <w:lang w:val="en-US"/>
        </w:rPr>
        <w:t>Melloni</w:t>
      </w:r>
      <w:proofErr w:type="spellEnd"/>
      <w:r w:rsidR="00173380" w:rsidRPr="00361047">
        <w:rPr>
          <w:i/>
          <w:iCs/>
          <w:sz w:val="18"/>
          <w:szCs w:val="18"/>
          <w:lang w:val="en-US"/>
        </w:rPr>
        <w:t xml:space="preserve"> in Three Acts: From Dialogue to Monologue</w:t>
      </w:r>
      <w:r w:rsidR="00F341DB" w:rsidRPr="00361047">
        <w:rPr>
          <w:sz w:val="18"/>
          <w:szCs w:val="18"/>
          <w:lang w:val="en-US"/>
        </w:rPr>
        <w:t xml:space="preserve">, </w:t>
      </w:r>
      <w:r w:rsidR="00173380" w:rsidRPr="00361047">
        <w:rPr>
          <w:sz w:val="18"/>
          <w:szCs w:val="18"/>
          <w:lang w:val="en-US"/>
        </w:rPr>
        <w:t>ECLR</w:t>
      </w:r>
      <w:r w:rsidR="00F341DB" w:rsidRPr="00361047">
        <w:rPr>
          <w:sz w:val="18"/>
          <w:szCs w:val="18"/>
          <w:lang w:val="en-US"/>
        </w:rPr>
        <w:t xml:space="preserve">, 2014, 2, </w:t>
      </w:r>
      <w:r w:rsidR="00173380" w:rsidRPr="00361047">
        <w:rPr>
          <w:sz w:val="18"/>
          <w:szCs w:val="18"/>
          <w:lang w:val="en-US"/>
        </w:rPr>
        <w:t>308-331</w:t>
      </w:r>
      <w:r w:rsidR="00693080" w:rsidRPr="00361047">
        <w:rPr>
          <w:sz w:val="18"/>
          <w:szCs w:val="18"/>
          <w:lang w:val="en-US"/>
        </w:rPr>
        <w:t xml:space="preserve">; </w:t>
      </w:r>
      <w:r w:rsidR="00BE4022" w:rsidRPr="00361047">
        <w:rPr>
          <w:sz w:val="18"/>
          <w:szCs w:val="18"/>
          <w:lang w:val="en-US"/>
        </w:rPr>
        <w:t xml:space="preserve">N. </w:t>
      </w:r>
      <w:r w:rsidR="00693080" w:rsidRPr="00361047">
        <w:rPr>
          <w:sz w:val="18"/>
          <w:szCs w:val="18"/>
          <w:lang w:val="en-US"/>
        </w:rPr>
        <w:t xml:space="preserve">de Boer, </w:t>
      </w:r>
      <w:r w:rsidR="00693080" w:rsidRPr="00361047">
        <w:rPr>
          <w:i/>
          <w:iCs/>
          <w:sz w:val="18"/>
          <w:szCs w:val="18"/>
          <w:lang w:val="en-US"/>
        </w:rPr>
        <w:t xml:space="preserve">Addressing rights divergences under the Charter: </w:t>
      </w:r>
      <w:proofErr w:type="spellStart"/>
      <w:r w:rsidR="00693080" w:rsidRPr="00361047">
        <w:rPr>
          <w:i/>
          <w:iCs/>
          <w:sz w:val="18"/>
          <w:szCs w:val="18"/>
          <w:lang w:val="en-US"/>
        </w:rPr>
        <w:t>Melloni</w:t>
      </w:r>
      <w:proofErr w:type="spellEnd"/>
      <w:r w:rsidR="00693080" w:rsidRPr="00361047">
        <w:rPr>
          <w:sz w:val="18"/>
          <w:szCs w:val="18"/>
          <w:lang w:val="en-US"/>
        </w:rPr>
        <w:t>, CMLR</w:t>
      </w:r>
      <w:r w:rsidR="00F341DB" w:rsidRPr="00361047">
        <w:rPr>
          <w:sz w:val="18"/>
          <w:szCs w:val="18"/>
          <w:lang w:val="en-US"/>
        </w:rPr>
        <w:t xml:space="preserve">, 2013, 4, </w:t>
      </w:r>
      <w:r w:rsidR="00693080" w:rsidRPr="00361047">
        <w:rPr>
          <w:sz w:val="18"/>
          <w:szCs w:val="18"/>
          <w:lang w:val="en-US"/>
        </w:rPr>
        <w:t xml:space="preserve">1083-1104; A. Torres Pérez, </w:t>
      </w:r>
      <w:proofErr w:type="spellStart"/>
      <w:r w:rsidR="00693080" w:rsidRPr="00361047">
        <w:rPr>
          <w:i/>
          <w:iCs/>
          <w:sz w:val="18"/>
          <w:szCs w:val="18"/>
          <w:lang w:val="en-US"/>
        </w:rPr>
        <w:t>Melloni</w:t>
      </w:r>
      <w:proofErr w:type="spellEnd"/>
      <w:r w:rsidR="00693080" w:rsidRPr="00361047">
        <w:rPr>
          <w:i/>
          <w:iCs/>
          <w:sz w:val="18"/>
          <w:szCs w:val="18"/>
          <w:lang w:val="en-US"/>
        </w:rPr>
        <w:t xml:space="preserve"> in Three Acts: From Dialogue to Monologue</w:t>
      </w:r>
      <w:r w:rsidR="00693080" w:rsidRPr="00361047">
        <w:rPr>
          <w:sz w:val="18"/>
          <w:szCs w:val="18"/>
          <w:lang w:val="en-US"/>
        </w:rPr>
        <w:t>’</w:t>
      </w:r>
      <w:r w:rsidR="00F341DB" w:rsidRPr="00361047">
        <w:rPr>
          <w:sz w:val="18"/>
          <w:szCs w:val="18"/>
          <w:lang w:val="en-US"/>
        </w:rPr>
        <w:t>,</w:t>
      </w:r>
      <w:r w:rsidR="00693080" w:rsidRPr="00361047">
        <w:rPr>
          <w:sz w:val="18"/>
          <w:szCs w:val="18"/>
          <w:lang w:val="en-US"/>
        </w:rPr>
        <w:t xml:space="preserve"> ECLR</w:t>
      </w:r>
      <w:r w:rsidR="00F341DB" w:rsidRPr="00361047">
        <w:rPr>
          <w:sz w:val="18"/>
          <w:szCs w:val="18"/>
          <w:lang w:val="en-US"/>
        </w:rPr>
        <w:t xml:space="preserve">, 2014, 2, </w:t>
      </w:r>
      <w:r w:rsidR="00693080" w:rsidRPr="00361047">
        <w:rPr>
          <w:sz w:val="18"/>
          <w:szCs w:val="18"/>
          <w:lang w:val="en-US"/>
        </w:rPr>
        <w:t>308-331</w:t>
      </w:r>
      <w:r w:rsidR="00F341DB" w:rsidRPr="00361047">
        <w:rPr>
          <w:sz w:val="18"/>
          <w:szCs w:val="18"/>
          <w:lang w:val="en-US"/>
        </w:rPr>
        <w:t xml:space="preserve">; </w:t>
      </w:r>
      <w:r w:rsidR="004306F4" w:rsidRPr="00361047">
        <w:rPr>
          <w:sz w:val="18"/>
          <w:szCs w:val="18"/>
          <w:lang w:val="en-US"/>
        </w:rPr>
        <w:t xml:space="preserve">N. </w:t>
      </w:r>
      <w:r w:rsidR="009F36DE" w:rsidRPr="00361047">
        <w:rPr>
          <w:sz w:val="18"/>
          <w:szCs w:val="18"/>
          <w:lang w:val="en-US"/>
        </w:rPr>
        <w:t>L</w:t>
      </w:r>
      <w:r w:rsidR="004306F4" w:rsidRPr="00361047">
        <w:rPr>
          <w:sz w:val="18"/>
          <w:szCs w:val="18"/>
          <w:lang w:val="en-US"/>
        </w:rPr>
        <w:t>azzerini</w:t>
      </w:r>
      <w:r w:rsidR="009F36DE" w:rsidRPr="00361047">
        <w:rPr>
          <w:sz w:val="18"/>
          <w:szCs w:val="18"/>
          <w:lang w:val="en-US"/>
        </w:rPr>
        <w:t xml:space="preserve">, </w:t>
      </w:r>
      <w:r w:rsidR="009F36DE" w:rsidRPr="00361047">
        <w:rPr>
          <w:i/>
          <w:sz w:val="18"/>
          <w:szCs w:val="18"/>
          <w:lang w:val="en-US"/>
        </w:rPr>
        <w:t xml:space="preserve">La Carta </w:t>
      </w:r>
      <w:proofErr w:type="spellStart"/>
      <w:r w:rsidR="009F36DE" w:rsidRPr="00361047">
        <w:rPr>
          <w:i/>
          <w:sz w:val="18"/>
          <w:szCs w:val="18"/>
          <w:lang w:val="en-US"/>
        </w:rPr>
        <w:t>dei</w:t>
      </w:r>
      <w:proofErr w:type="spellEnd"/>
      <w:r w:rsidR="009F36DE" w:rsidRPr="00361047">
        <w:rPr>
          <w:i/>
          <w:sz w:val="18"/>
          <w:szCs w:val="18"/>
          <w:lang w:val="en-US"/>
        </w:rPr>
        <w:t xml:space="preserve"> </w:t>
      </w:r>
      <w:proofErr w:type="spellStart"/>
      <w:r w:rsidR="009F36DE" w:rsidRPr="00361047">
        <w:rPr>
          <w:i/>
          <w:sz w:val="18"/>
          <w:szCs w:val="18"/>
          <w:lang w:val="en-US"/>
        </w:rPr>
        <w:t>diritti</w:t>
      </w:r>
      <w:proofErr w:type="spellEnd"/>
      <w:r w:rsidR="009F36DE" w:rsidRPr="00361047">
        <w:rPr>
          <w:i/>
          <w:sz w:val="18"/>
          <w:szCs w:val="18"/>
          <w:lang w:val="en-US"/>
        </w:rPr>
        <w:t xml:space="preserve"> </w:t>
      </w:r>
      <w:proofErr w:type="spellStart"/>
      <w:r w:rsidR="009F36DE" w:rsidRPr="00361047">
        <w:rPr>
          <w:i/>
          <w:sz w:val="18"/>
          <w:szCs w:val="18"/>
          <w:lang w:val="en-US"/>
        </w:rPr>
        <w:t>fondamentali</w:t>
      </w:r>
      <w:proofErr w:type="spellEnd"/>
      <w:r w:rsidR="009F36DE" w:rsidRPr="00361047">
        <w:rPr>
          <w:i/>
          <w:sz w:val="18"/>
          <w:szCs w:val="18"/>
          <w:lang w:val="en-US"/>
        </w:rPr>
        <w:t xml:space="preserve"> </w:t>
      </w:r>
      <w:proofErr w:type="spellStart"/>
      <w:r w:rsidR="009F36DE" w:rsidRPr="00361047">
        <w:rPr>
          <w:i/>
          <w:sz w:val="18"/>
          <w:szCs w:val="18"/>
          <w:lang w:val="en-US"/>
        </w:rPr>
        <w:t>dell'Unione</w:t>
      </w:r>
      <w:proofErr w:type="spellEnd"/>
      <w:r w:rsidR="009F36DE" w:rsidRPr="00361047">
        <w:rPr>
          <w:i/>
          <w:sz w:val="18"/>
          <w:szCs w:val="18"/>
          <w:lang w:val="en-US"/>
        </w:rPr>
        <w:t xml:space="preserve"> </w:t>
      </w:r>
      <w:proofErr w:type="spellStart"/>
      <w:r w:rsidR="009F36DE" w:rsidRPr="00361047">
        <w:rPr>
          <w:i/>
          <w:sz w:val="18"/>
          <w:szCs w:val="18"/>
          <w:lang w:val="en-US"/>
        </w:rPr>
        <w:t>europea</w:t>
      </w:r>
      <w:proofErr w:type="spellEnd"/>
      <w:r w:rsidR="009F36DE" w:rsidRPr="00361047">
        <w:rPr>
          <w:i/>
          <w:sz w:val="18"/>
          <w:szCs w:val="18"/>
          <w:lang w:val="en-US"/>
        </w:rPr>
        <w:t xml:space="preserve">. </w:t>
      </w:r>
      <w:r w:rsidR="009F36DE" w:rsidRPr="00361047">
        <w:rPr>
          <w:i/>
          <w:sz w:val="18"/>
          <w:szCs w:val="18"/>
          <w:lang w:val="it-IT"/>
        </w:rPr>
        <w:t>I limiti di applicazione</w:t>
      </w:r>
      <w:r w:rsidR="009F36DE" w:rsidRPr="00361047">
        <w:rPr>
          <w:sz w:val="18"/>
          <w:szCs w:val="18"/>
          <w:lang w:val="it-IT"/>
        </w:rPr>
        <w:t>, Milano, 2018.</w:t>
      </w:r>
      <w:r w:rsidRPr="00361047">
        <w:rPr>
          <w:sz w:val="18"/>
          <w:szCs w:val="18"/>
          <w:lang w:val="it-IT"/>
        </w:rPr>
        <w:t xml:space="preserve"> </w:t>
      </w:r>
    </w:p>
  </w:footnote>
  <w:footnote w:id="14">
    <w:p w14:paraId="3660754E" w14:textId="594D1AAD" w:rsidR="00ED7D99" w:rsidRPr="00361047" w:rsidRDefault="00ED7D99" w:rsidP="00B77BB5">
      <w:pPr>
        <w:pStyle w:val="Testonotaapidipagina"/>
        <w:jc w:val="both"/>
        <w:rPr>
          <w:sz w:val="18"/>
          <w:szCs w:val="18"/>
          <w:lang w:val="it-IT"/>
        </w:rPr>
      </w:pPr>
      <w:r w:rsidRPr="00361047">
        <w:rPr>
          <w:rStyle w:val="Rimandonotaapidipagina"/>
          <w:sz w:val="18"/>
          <w:szCs w:val="18"/>
        </w:rPr>
        <w:footnoteRef/>
      </w:r>
      <w:r w:rsidRPr="00361047">
        <w:rPr>
          <w:sz w:val="18"/>
          <w:szCs w:val="18"/>
          <w:lang w:val="it-IT"/>
        </w:rPr>
        <w:t xml:space="preserve"> Corte di giustizia</w:t>
      </w:r>
      <w:r w:rsidR="00857F41" w:rsidRPr="00361047">
        <w:rPr>
          <w:sz w:val="18"/>
          <w:szCs w:val="18"/>
          <w:lang w:val="it-IT"/>
        </w:rPr>
        <w:t>,</w:t>
      </w:r>
      <w:r w:rsidR="00067018" w:rsidRPr="00361047">
        <w:rPr>
          <w:sz w:val="18"/>
          <w:szCs w:val="18"/>
          <w:lang w:val="it-IT"/>
        </w:rPr>
        <w:t xml:space="preserve"> sentenza del </w:t>
      </w:r>
      <w:r w:rsidRPr="00361047">
        <w:rPr>
          <w:sz w:val="18"/>
          <w:szCs w:val="18"/>
          <w:lang w:val="it-IT"/>
        </w:rPr>
        <w:t xml:space="preserve">25 luglio 2002, C-50/00, </w:t>
      </w:r>
      <w:proofErr w:type="spellStart"/>
      <w:r w:rsidRPr="00361047">
        <w:rPr>
          <w:i/>
          <w:iCs/>
          <w:sz w:val="18"/>
          <w:szCs w:val="18"/>
          <w:lang w:val="it-IT"/>
        </w:rPr>
        <w:t>Unión</w:t>
      </w:r>
      <w:proofErr w:type="spellEnd"/>
      <w:r w:rsidRPr="00361047">
        <w:rPr>
          <w:i/>
          <w:iCs/>
          <w:sz w:val="18"/>
          <w:szCs w:val="18"/>
          <w:lang w:val="it-IT"/>
        </w:rPr>
        <w:t xml:space="preserve"> de </w:t>
      </w:r>
      <w:proofErr w:type="spellStart"/>
      <w:r w:rsidRPr="00361047">
        <w:rPr>
          <w:i/>
          <w:iCs/>
          <w:sz w:val="18"/>
          <w:szCs w:val="18"/>
          <w:lang w:val="it-IT"/>
        </w:rPr>
        <w:t>Pequeños</w:t>
      </w:r>
      <w:proofErr w:type="spellEnd"/>
      <w:r w:rsidRPr="00361047">
        <w:rPr>
          <w:i/>
          <w:iCs/>
          <w:sz w:val="18"/>
          <w:szCs w:val="18"/>
          <w:lang w:val="it-IT"/>
        </w:rPr>
        <w:t xml:space="preserve"> </w:t>
      </w:r>
      <w:proofErr w:type="spellStart"/>
      <w:r w:rsidRPr="00361047">
        <w:rPr>
          <w:i/>
          <w:iCs/>
          <w:sz w:val="18"/>
          <w:szCs w:val="18"/>
          <w:lang w:val="it-IT"/>
        </w:rPr>
        <w:t>Agricultores</w:t>
      </w:r>
      <w:proofErr w:type="spellEnd"/>
      <w:r w:rsidRPr="00361047">
        <w:rPr>
          <w:sz w:val="18"/>
          <w:szCs w:val="18"/>
          <w:lang w:val="it-IT"/>
        </w:rPr>
        <w:t xml:space="preserve">, </w:t>
      </w:r>
      <w:r w:rsidR="00B77BB5" w:rsidRPr="00361047">
        <w:rPr>
          <w:sz w:val="18"/>
          <w:szCs w:val="18"/>
          <w:lang w:val="it-IT"/>
        </w:rPr>
        <w:t xml:space="preserve">ECLI:EU:C:2002:462, </w:t>
      </w:r>
      <w:r w:rsidRPr="00361047">
        <w:rPr>
          <w:sz w:val="18"/>
          <w:szCs w:val="18"/>
          <w:lang w:val="it-IT"/>
        </w:rPr>
        <w:t>punto 39.</w:t>
      </w:r>
    </w:p>
  </w:footnote>
  <w:footnote w:id="15">
    <w:p w14:paraId="5E8AF86E" w14:textId="16626F1B" w:rsidR="00175561" w:rsidRPr="00361047" w:rsidRDefault="00175561" w:rsidP="00175561">
      <w:pPr>
        <w:pStyle w:val="Testonotaapidipagina"/>
        <w:jc w:val="both"/>
        <w:rPr>
          <w:sz w:val="18"/>
          <w:szCs w:val="18"/>
          <w:lang w:val="it-IT"/>
        </w:rPr>
      </w:pPr>
      <w:r w:rsidRPr="00361047">
        <w:rPr>
          <w:rStyle w:val="Rimandonotaapidipagina"/>
          <w:sz w:val="18"/>
          <w:szCs w:val="18"/>
        </w:rPr>
        <w:footnoteRef/>
      </w:r>
      <w:r w:rsidRPr="00361047">
        <w:rPr>
          <w:sz w:val="18"/>
          <w:szCs w:val="18"/>
          <w:lang w:val="it-IT"/>
        </w:rPr>
        <w:t xml:space="preserve"> Corte giustizia</w:t>
      </w:r>
      <w:r w:rsidR="00885D27" w:rsidRPr="00361047">
        <w:rPr>
          <w:sz w:val="18"/>
          <w:szCs w:val="18"/>
          <w:lang w:val="it-IT"/>
        </w:rPr>
        <w:t>,</w:t>
      </w:r>
      <w:r w:rsidRPr="00361047">
        <w:rPr>
          <w:sz w:val="18"/>
          <w:szCs w:val="18"/>
          <w:lang w:val="it-IT"/>
        </w:rPr>
        <w:t xml:space="preserve"> 27 marzo 2014, </w:t>
      </w:r>
      <w:proofErr w:type="spellStart"/>
      <w:r w:rsidRPr="00361047">
        <w:rPr>
          <w:i/>
          <w:iCs/>
          <w:sz w:val="18"/>
          <w:szCs w:val="18"/>
          <w:lang w:val="it-IT"/>
        </w:rPr>
        <w:t>Grauel</w:t>
      </w:r>
      <w:proofErr w:type="spellEnd"/>
      <w:r w:rsidRPr="00361047">
        <w:rPr>
          <w:i/>
          <w:iCs/>
          <w:sz w:val="18"/>
          <w:szCs w:val="18"/>
          <w:lang w:val="it-IT"/>
        </w:rPr>
        <w:t xml:space="preserve"> </w:t>
      </w:r>
      <w:proofErr w:type="spellStart"/>
      <w:r w:rsidRPr="00361047">
        <w:rPr>
          <w:i/>
          <w:iCs/>
          <w:sz w:val="18"/>
          <w:szCs w:val="18"/>
          <w:lang w:val="it-IT"/>
        </w:rPr>
        <w:t>Rüffer</w:t>
      </w:r>
      <w:proofErr w:type="spellEnd"/>
      <w:r w:rsidR="006A3F73" w:rsidRPr="00361047">
        <w:rPr>
          <w:sz w:val="18"/>
          <w:szCs w:val="18"/>
          <w:lang w:val="it-IT"/>
        </w:rPr>
        <w:t xml:space="preserve">, </w:t>
      </w:r>
      <w:r w:rsidR="003D2D73" w:rsidRPr="00361047">
        <w:rPr>
          <w:sz w:val="18"/>
          <w:szCs w:val="18"/>
          <w:lang w:val="it-IT"/>
        </w:rPr>
        <w:t xml:space="preserve">C-322/13, </w:t>
      </w:r>
      <w:r w:rsidR="009F6036" w:rsidRPr="00361047">
        <w:rPr>
          <w:sz w:val="18"/>
          <w:szCs w:val="18"/>
          <w:lang w:val="it-IT"/>
        </w:rPr>
        <w:t>ECLI:EU:C:2014:189</w:t>
      </w:r>
      <w:r w:rsidRPr="00361047">
        <w:rPr>
          <w:sz w:val="18"/>
          <w:szCs w:val="18"/>
          <w:lang w:val="it-IT"/>
        </w:rPr>
        <w:t xml:space="preserve">; 24 novembre 1998, C-274/96, </w:t>
      </w:r>
      <w:proofErr w:type="spellStart"/>
      <w:r w:rsidRPr="00361047">
        <w:rPr>
          <w:i/>
          <w:iCs/>
          <w:sz w:val="18"/>
          <w:szCs w:val="18"/>
          <w:lang w:val="it-IT"/>
        </w:rPr>
        <w:t>Bickel</w:t>
      </w:r>
      <w:proofErr w:type="spellEnd"/>
      <w:r w:rsidRPr="00361047">
        <w:rPr>
          <w:i/>
          <w:iCs/>
          <w:sz w:val="18"/>
          <w:szCs w:val="18"/>
          <w:lang w:val="it-IT"/>
        </w:rPr>
        <w:t xml:space="preserve"> e Franz</w:t>
      </w:r>
      <w:r w:rsidR="00926158" w:rsidRPr="00361047">
        <w:rPr>
          <w:sz w:val="18"/>
          <w:szCs w:val="18"/>
          <w:lang w:val="it-IT"/>
        </w:rPr>
        <w:t>, ECLI:EU:C:1998:563</w:t>
      </w:r>
      <w:r w:rsidRPr="00361047">
        <w:rPr>
          <w:sz w:val="18"/>
          <w:szCs w:val="18"/>
          <w:lang w:val="it-IT"/>
        </w:rPr>
        <w:t xml:space="preserve">; 20 marzo 1997, </w:t>
      </w:r>
      <w:r w:rsidRPr="00361047">
        <w:rPr>
          <w:i/>
          <w:iCs/>
          <w:sz w:val="18"/>
          <w:szCs w:val="18"/>
          <w:lang w:val="it-IT"/>
        </w:rPr>
        <w:t>Hayes</w:t>
      </w:r>
      <w:r w:rsidRPr="00361047">
        <w:rPr>
          <w:sz w:val="18"/>
          <w:szCs w:val="18"/>
          <w:lang w:val="it-IT"/>
        </w:rPr>
        <w:t xml:space="preserve">, </w:t>
      </w:r>
      <w:r w:rsidR="00E660CD" w:rsidRPr="00361047">
        <w:rPr>
          <w:sz w:val="18"/>
          <w:szCs w:val="18"/>
          <w:lang w:val="it-IT"/>
        </w:rPr>
        <w:t xml:space="preserve">C-323/95, </w:t>
      </w:r>
      <w:r w:rsidR="00F20BF2" w:rsidRPr="00361047">
        <w:rPr>
          <w:sz w:val="18"/>
          <w:szCs w:val="18"/>
          <w:lang w:val="it-IT"/>
        </w:rPr>
        <w:t>ECLI:EU:C:1997:169</w:t>
      </w:r>
      <w:r w:rsidRPr="00361047">
        <w:rPr>
          <w:sz w:val="18"/>
          <w:szCs w:val="18"/>
          <w:lang w:val="it-IT"/>
        </w:rPr>
        <w:t xml:space="preserve">; 19 marzo 2002, </w:t>
      </w:r>
      <w:r w:rsidRPr="00361047">
        <w:rPr>
          <w:i/>
          <w:iCs/>
          <w:sz w:val="18"/>
          <w:szCs w:val="18"/>
          <w:lang w:val="it-IT"/>
        </w:rPr>
        <w:t>Commissione c. Repubblica italiana</w:t>
      </w:r>
      <w:r w:rsidRPr="00361047">
        <w:rPr>
          <w:sz w:val="18"/>
          <w:szCs w:val="18"/>
          <w:lang w:val="it-IT"/>
        </w:rPr>
        <w:t>,</w:t>
      </w:r>
      <w:r w:rsidR="00E660CD" w:rsidRPr="00361047">
        <w:rPr>
          <w:sz w:val="18"/>
          <w:szCs w:val="18"/>
          <w:lang w:val="it-IT"/>
        </w:rPr>
        <w:t xml:space="preserve"> C-224/00, ECLI:EU:C:2002:185</w:t>
      </w:r>
      <w:r w:rsidRPr="00361047">
        <w:rPr>
          <w:sz w:val="18"/>
          <w:szCs w:val="18"/>
          <w:lang w:val="it-IT"/>
        </w:rPr>
        <w:t xml:space="preserve">; 23 gennaio 1997, </w:t>
      </w:r>
      <w:proofErr w:type="spellStart"/>
      <w:r w:rsidRPr="00361047">
        <w:rPr>
          <w:i/>
          <w:iCs/>
          <w:sz w:val="18"/>
          <w:szCs w:val="18"/>
          <w:lang w:val="it-IT"/>
        </w:rPr>
        <w:t>Pastoors</w:t>
      </w:r>
      <w:proofErr w:type="spellEnd"/>
      <w:r w:rsidRPr="00361047">
        <w:rPr>
          <w:i/>
          <w:iCs/>
          <w:sz w:val="18"/>
          <w:szCs w:val="18"/>
          <w:lang w:val="it-IT"/>
        </w:rPr>
        <w:t xml:space="preserve"> e Trans-Cap</w:t>
      </w:r>
      <w:r w:rsidR="00D817B2" w:rsidRPr="00361047">
        <w:rPr>
          <w:sz w:val="18"/>
          <w:szCs w:val="18"/>
          <w:lang w:val="it-IT"/>
        </w:rPr>
        <w:t>, C-29/95, ECLI:EU:C:1997:28</w:t>
      </w:r>
      <w:r w:rsidR="00C52DE5" w:rsidRPr="00361047">
        <w:rPr>
          <w:sz w:val="18"/>
          <w:szCs w:val="18"/>
          <w:lang w:val="it-IT"/>
        </w:rPr>
        <w:t xml:space="preserve">; 14 dicembre 1995, </w:t>
      </w:r>
      <w:proofErr w:type="spellStart"/>
      <w:r w:rsidR="00C52DE5" w:rsidRPr="00361047">
        <w:rPr>
          <w:i/>
          <w:iCs/>
          <w:sz w:val="18"/>
          <w:szCs w:val="18"/>
          <w:lang w:val="it-IT"/>
        </w:rPr>
        <w:t>Peterbroeck</w:t>
      </w:r>
      <w:proofErr w:type="spellEnd"/>
      <w:r w:rsidR="00C52DE5" w:rsidRPr="00361047">
        <w:rPr>
          <w:sz w:val="18"/>
          <w:szCs w:val="18"/>
          <w:lang w:val="it-IT"/>
        </w:rPr>
        <w:t xml:space="preserve">, </w:t>
      </w:r>
      <w:r w:rsidR="00D817B2" w:rsidRPr="00361047">
        <w:rPr>
          <w:sz w:val="18"/>
          <w:szCs w:val="18"/>
          <w:lang w:val="it-IT"/>
        </w:rPr>
        <w:t xml:space="preserve">causa C-312/93, </w:t>
      </w:r>
      <w:r w:rsidR="00CD033A" w:rsidRPr="00361047">
        <w:rPr>
          <w:sz w:val="18"/>
          <w:szCs w:val="18"/>
          <w:lang w:val="it-IT"/>
        </w:rPr>
        <w:t>ECLI:EU:C:1995:437</w:t>
      </w:r>
      <w:r w:rsidR="00E81C08" w:rsidRPr="00361047">
        <w:rPr>
          <w:sz w:val="18"/>
          <w:szCs w:val="18"/>
          <w:lang w:val="it-IT"/>
        </w:rPr>
        <w:t xml:space="preserve">, </w:t>
      </w:r>
      <w:r w:rsidR="00C52DE5" w:rsidRPr="00361047">
        <w:rPr>
          <w:sz w:val="18"/>
          <w:szCs w:val="18"/>
          <w:lang w:val="it-IT"/>
        </w:rPr>
        <w:t xml:space="preserve">punto 14; </w:t>
      </w:r>
      <w:r w:rsidR="003C474F" w:rsidRPr="00361047">
        <w:rPr>
          <w:sz w:val="18"/>
          <w:szCs w:val="18"/>
          <w:lang w:val="it-IT"/>
        </w:rPr>
        <w:t xml:space="preserve">27 giugno 2013, </w:t>
      </w:r>
      <w:proofErr w:type="spellStart"/>
      <w:r w:rsidR="003C474F" w:rsidRPr="00361047">
        <w:rPr>
          <w:i/>
          <w:iCs/>
          <w:sz w:val="18"/>
          <w:szCs w:val="18"/>
          <w:lang w:val="it-IT"/>
        </w:rPr>
        <w:t>Agrokonsulting</w:t>
      </w:r>
      <w:proofErr w:type="spellEnd"/>
      <w:r w:rsidR="006770C5" w:rsidRPr="00361047">
        <w:rPr>
          <w:sz w:val="18"/>
          <w:szCs w:val="18"/>
          <w:lang w:val="it-IT"/>
        </w:rPr>
        <w:t>, C-93/12, ECLI:EU:C:2013:432</w:t>
      </w:r>
      <w:r w:rsidR="003C474F" w:rsidRPr="00361047">
        <w:rPr>
          <w:sz w:val="18"/>
          <w:szCs w:val="18"/>
          <w:lang w:val="it-IT"/>
        </w:rPr>
        <w:t xml:space="preserve">; 29 ottobre 2009, </w:t>
      </w:r>
      <w:proofErr w:type="spellStart"/>
      <w:r w:rsidR="003C474F" w:rsidRPr="00361047">
        <w:rPr>
          <w:i/>
          <w:iCs/>
          <w:sz w:val="18"/>
          <w:szCs w:val="18"/>
          <w:lang w:val="it-IT"/>
        </w:rPr>
        <w:t>Pontin</w:t>
      </w:r>
      <w:proofErr w:type="spellEnd"/>
      <w:r w:rsidR="006770C5" w:rsidRPr="00361047">
        <w:rPr>
          <w:sz w:val="18"/>
          <w:szCs w:val="18"/>
          <w:lang w:val="it-IT"/>
        </w:rPr>
        <w:t xml:space="preserve">, C-63/08, </w:t>
      </w:r>
      <w:r w:rsidR="006263C1" w:rsidRPr="00361047">
        <w:rPr>
          <w:sz w:val="18"/>
          <w:szCs w:val="18"/>
          <w:lang w:val="it-IT"/>
        </w:rPr>
        <w:t>ECLI:EU:C:2009:666</w:t>
      </w:r>
      <w:r w:rsidR="003C474F" w:rsidRPr="00361047">
        <w:rPr>
          <w:sz w:val="18"/>
          <w:szCs w:val="18"/>
          <w:lang w:val="it-IT"/>
        </w:rPr>
        <w:t xml:space="preserve">; 22 dicembre 2010, </w:t>
      </w:r>
      <w:r w:rsidR="003C474F" w:rsidRPr="00361047">
        <w:rPr>
          <w:i/>
          <w:iCs/>
          <w:sz w:val="18"/>
          <w:szCs w:val="18"/>
          <w:lang w:val="it-IT"/>
        </w:rPr>
        <w:t>Deb</w:t>
      </w:r>
      <w:r w:rsidR="00092EF9" w:rsidRPr="00361047">
        <w:rPr>
          <w:sz w:val="18"/>
          <w:szCs w:val="18"/>
          <w:lang w:val="it-IT"/>
        </w:rPr>
        <w:t xml:space="preserve">, C-279/09, </w:t>
      </w:r>
      <w:r w:rsidR="00477B86" w:rsidRPr="00361047">
        <w:rPr>
          <w:sz w:val="18"/>
          <w:szCs w:val="18"/>
          <w:lang w:val="it-IT"/>
        </w:rPr>
        <w:t>ECLI:EU:C:2010:811</w:t>
      </w:r>
      <w:r w:rsidR="003C474F" w:rsidRPr="00361047">
        <w:rPr>
          <w:sz w:val="18"/>
          <w:szCs w:val="18"/>
          <w:lang w:val="it-IT"/>
        </w:rPr>
        <w:t xml:space="preserve">; 10 aprile 2003, </w:t>
      </w:r>
      <w:proofErr w:type="spellStart"/>
      <w:r w:rsidR="003C474F" w:rsidRPr="00361047">
        <w:rPr>
          <w:i/>
          <w:iCs/>
          <w:sz w:val="18"/>
          <w:szCs w:val="18"/>
          <w:lang w:val="it-IT"/>
        </w:rPr>
        <w:t>Steffensen</w:t>
      </w:r>
      <w:proofErr w:type="spellEnd"/>
      <w:r w:rsidR="003C474F" w:rsidRPr="00361047">
        <w:rPr>
          <w:sz w:val="18"/>
          <w:szCs w:val="18"/>
          <w:lang w:val="it-IT"/>
        </w:rPr>
        <w:t xml:space="preserve">, </w:t>
      </w:r>
      <w:r w:rsidR="00477B86" w:rsidRPr="00361047">
        <w:rPr>
          <w:sz w:val="18"/>
          <w:szCs w:val="18"/>
          <w:lang w:val="it-IT"/>
        </w:rPr>
        <w:t xml:space="preserve">C-276/01, </w:t>
      </w:r>
      <w:r w:rsidR="00857F41" w:rsidRPr="00361047">
        <w:rPr>
          <w:sz w:val="18"/>
          <w:szCs w:val="18"/>
          <w:lang w:val="it-IT"/>
        </w:rPr>
        <w:t xml:space="preserve">ECLI:EU:C:2003:228, </w:t>
      </w:r>
      <w:r w:rsidR="003C474F" w:rsidRPr="00361047">
        <w:rPr>
          <w:sz w:val="18"/>
          <w:szCs w:val="18"/>
          <w:lang w:val="it-IT"/>
        </w:rPr>
        <w:t>punto 80</w:t>
      </w:r>
      <w:r w:rsidR="00857F41" w:rsidRPr="00361047">
        <w:rPr>
          <w:sz w:val="18"/>
          <w:szCs w:val="18"/>
          <w:lang w:val="it-IT"/>
        </w:rPr>
        <w:t>.</w:t>
      </w:r>
    </w:p>
  </w:footnote>
  <w:footnote w:id="16">
    <w:p w14:paraId="5FDCC8E9" w14:textId="2D06F72B" w:rsidR="00A66BCE" w:rsidRPr="00361047" w:rsidRDefault="00A66BCE" w:rsidP="00C4068F">
      <w:pPr>
        <w:pStyle w:val="Testonotaapidipagina"/>
        <w:jc w:val="both"/>
        <w:rPr>
          <w:sz w:val="18"/>
          <w:szCs w:val="18"/>
          <w:lang w:val="it-IT"/>
        </w:rPr>
      </w:pPr>
      <w:r w:rsidRPr="00361047">
        <w:rPr>
          <w:rStyle w:val="Rimandonotaapidipagina"/>
          <w:sz w:val="18"/>
          <w:szCs w:val="18"/>
        </w:rPr>
        <w:footnoteRef/>
      </w:r>
      <w:r w:rsidRPr="00361047">
        <w:rPr>
          <w:sz w:val="18"/>
          <w:szCs w:val="18"/>
          <w:lang w:val="it-IT"/>
        </w:rPr>
        <w:t xml:space="preserve"> Come noto l’obbligo di </w:t>
      </w:r>
      <w:r w:rsidR="00B738C6" w:rsidRPr="00361047">
        <w:rPr>
          <w:sz w:val="18"/>
          <w:szCs w:val="18"/>
          <w:lang w:val="it-IT"/>
        </w:rPr>
        <w:t xml:space="preserve">coerenza con la giurisprudenza della Corte </w:t>
      </w:r>
      <w:proofErr w:type="spellStart"/>
      <w:r w:rsidR="00B738C6" w:rsidRPr="00361047">
        <w:rPr>
          <w:sz w:val="18"/>
          <w:szCs w:val="18"/>
          <w:lang w:val="it-IT"/>
        </w:rPr>
        <w:t>Edu</w:t>
      </w:r>
      <w:proofErr w:type="spellEnd"/>
      <w:r w:rsidR="00B738C6" w:rsidRPr="00361047">
        <w:rPr>
          <w:sz w:val="18"/>
          <w:szCs w:val="18"/>
          <w:lang w:val="it-IT"/>
        </w:rPr>
        <w:t xml:space="preserve"> </w:t>
      </w:r>
      <w:r w:rsidR="00C4068F" w:rsidRPr="00361047">
        <w:rPr>
          <w:sz w:val="18"/>
          <w:szCs w:val="18"/>
          <w:lang w:val="it-IT"/>
        </w:rPr>
        <w:t xml:space="preserve">per tutti i </w:t>
      </w:r>
      <w:r w:rsidR="00B738C6" w:rsidRPr="00361047">
        <w:rPr>
          <w:sz w:val="18"/>
          <w:szCs w:val="18"/>
          <w:lang w:val="it-IT"/>
        </w:rPr>
        <w:t>diritti della Carta corrispondenti a quelli della CEDU emerge dall’art. 52(3)</w:t>
      </w:r>
      <w:r w:rsidR="00C4068F" w:rsidRPr="00361047">
        <w:rPr>
          <w:sz w:val="18"/>
          <w:szCs w:val="18"/>
          <w:lang w:val="it-IT"/>
        </w:rPr>
        <w:t xml:space="preserve"> della Carta. </w:t>
      </w:r>
    </w:p>
  </w:footnote>
  <w:footnote w:id="17">
    <w:p w14:paraId="2DE3110C" w14:textId="750F7776" w:rsidR="00215273" w:rsidRPr="00361047" w:rsidRDefault="00215273" w:rsidP="00215273">
      <w:pPr>
        <w:pStyle w:val="Pa3"/>
        <w:jc w:val="both"/>
        <w:rPr>
          <w:rFonts w:ascii="Times New Roman" w:hAnsi="Times New Roman" w:cs="Times New Roman"/>
          <w:color w:val="000000"/>
          <w:sz w:val="18"/>
          <w:szCs w:val="18"/>
        </w:rPr>
      </w:pPr>
      <w:r w:rsidRPr="00361047">
        <w:rPr>
          <w:rStyle w:val="Rimandonotaapidipagina"/>
          <w:rFonts w:ascii="Times New Roman" w:hAnsi="Times New Roman" w:cs="Times New Roman"/>
          <w:sz w:val="18"/>
          <w:szCs w:val="18"/>
        </w:rPr>
        <w:footnoteRef/>
      </w:r>
      <w:r w:rsidRPr="00361047">
        <w:rPr>
          <w:rFonts w:ascii="Times New Roman" w:hAnsi="Times New Roman" w:cs="Times New Roman"/>
          <w:sz w:val="18"/>
          <w:szCs w:val="18"/>
        </w:rPr>
        <w:t xml:space="preserve"> </w:t>
      </w:r>
      <w:r w:rsidRPr="00361047">
        <w:rPr>
          <w:rFonts w:ascii="Times New Roman" w:hAnsi="Times New Roman" w:cs="Times New Roman"/>
          <w:color w:val="000000"/>
          <w:sz w:val="18"/>
          <w:szCs w:val="18"/>
        </w:rPr>
        <w:t xml:space="preserve">Corte </w:t>
      </w:r>
      <w:proofErr w:type="spellStart"/>
      <w:r w:rsidRPr="00361047">
        <w:rPr>
          <w:rFonts w:ascii="Times New Roman" w:hAnsi="Times New Roman" w:cs="Times New Roman"/>
          <w:color w:val="000000"/>
          <w:sz w:val="18"/>
          <w:szCs w:val="18"/>
        </w:rPr>
        <w:t>Edu</w:t>
      </w:r>
      <w:proofErr w:type="spellEnd"/>
      <w:r w:rsidR="00067018" w:rsidRPr="00361047">
        <w:rPr>
          <w:rFonts w:ascii="Times New Roman" w:hAnsi="Times New Roman" w:cs="Times New Roman"/>
          <w:color w:val="000000"/>
          <w:sz w:val="18"/>
          <w:szCs w:val="18"/>
        </w:rPr>
        <w:t xml:space="preserve">, </w:t>
      </w:r>
      <w:r w:rsidRPr="00361047">
        <w:rPr>
          <w:rFonts w:ascii="Times New Roman" w:hAnsi="Times New Roman" w:cs="Times New Roman"/>
          <w:color w:val="000000"/>
          <w:sz w:val="18"/>
          <w:szCs w:val="18"/>
        </w:rPr>
        <w:t xml:space="preserve">23 ottobre 1995, </w:t>
      </w:r>
      <w:proofErr w:type="spellStart"/>
      <w:r w:rsidRPr="00361047">
        <w:rPr>
          <w:rFonts w:ascii="Times New Roman" w:hAnsi="Times New Roman" w:cs="Times New Roman"/>
          <w:i/>
          <w:iCs/>
          <w:color w:val="000000"/>
          <w:sz w:val="18"/>
          <w:szCs w:val="18"/>
        </w:rPr>
        <w:t>Schmautzer</w:t>
      </w:r>
      <w:proofErr w:type="spellEnd"/>
      <w:r w:rsidRPr="00361047">
        <w:rPr>
          <w:rFonts w:ascii="Times New Roman" w:hAnsi="Times New Roman" w:cs="Times New Roman"/>
          <w:i/>
          <w:iCs/>
          <w:color w:val="000000"/>
          <w:sz w:val="18"/>
          <w:szCs w:val="18"/>
        </w:rPr>
        <w:t xml:space="preserve"> v. Austria</w:t>
      </w:r>
      <w:r w:rsidRPr="00361047">
        <w:rPr>
          <w:rFonts w:ascii="Times New Roman" w:hAnsi="Times New Roman" w:cs="Times New Roman"/>
          <w:color w:val="000000"/>
          <w:sz w:val="18"/>
          <w:szCs w:val="18"/>
        </w:rPr>
        <w:t xml:space="preserve">, 15523/89; 23 novembre 2006, </w:t>
      </w:r>
      <w:proofErr w:type="spellStart"/>
      <w:r w:rsidRPr="00361047">
        <w:rPr>
          <w:rFonts w:ascii="Times New Roman" w:hAnsi="Times New Roman" w:cs="Times New Roman"/>
          <w:i/>
          <w:iCs/>
          <w:color w:val="000000"/>
          <w:sz w:val="18"/>
          <w:szCs w:val="18"/>
        </w:rPr>
        <w:t>Jussila</w:t>
      </w:r>
      <w:proofErr w:type="spellEnd"/>
      <w:r w:rsidRPr="00361047">
        <w:rPr>
          <w:rFonts w:ascii="Times New Roman" w:hAnsi="Times New Roman" w:cs="Times New Roman"/>
          <w:i/>
          <w:iCs/>
          <w:color w:val="000000"/>
          <w:sz w:val="18"/>
          <w:szCs w:val="18"/>
        </w:rPr>
        <w:t xml:space="preserve"> v. </w:t>
      </w:r>
      <w:proofErr w:type="spellStart"/>
      <w:r w:rsidRPr="00361047">
        <w:rPr>
          <w:rFonts w:ascii="Times New Roman" w:hAnsi="Times New Roman" w:cs="Times New Roman"/>
          <w:i/>
          <w:iCs/>
          <w:color w:val="000000"/>
          <w:sz w:val="18"/>
          <w:szCs w:val="18"/>
        </w:rPr>
        <w:t>Finland</w:t>
      </w:r>
      <w:proofErr w:type="spellEnd"/>
      <w:r w:rsidRPr="00361047">
        <w:rPr>
          <w:rFonts w:ascii="Times New Roman" w:hAnsi="Times New Roman" w:cs="Times New Roman"/>
          <w:color w:val="000000"/>
          <w:sz w:val="18"/>
          <w:szCs w:val="18"/>
        </w:rPr>
        <w:t xml:space="preserve">, 73053/01; 9 ottobre1979, </w:t>
      </w:r>
      <w:proofErr w:type="spellStart"/>
      <w:r w:rsidRPr="00361047">
        <w:rPr>
          <w:rFonts w:ascii="Times New Roman" w:hAnsi="Times New Roman" w:cs="Times New Roman"/>
          <w:i/>
          <w:iCs/>
          <w:color w:val="000000"/>
          <w:sz w:val="18"/>
          <w:szCs w:val="18"/>
        </w:rPr>
        <w:t>Airey</w:t>
      </w:r>
      <w:proofErr w:type="spellEnd"/>
      <w:r w:rsidRPr="00361047">
        <w:rPr>
          <w:rFonts w:ascii="Times New Roman" w:hAnsi="Times New Roman" w:cs="Times New Roman"/>
          <w:i/>
          <w:iCs/>
          <w:color w:val="000000"/>
          <w:sz w:val="18"/>
          <w:szCs w:val="18"/>
        </w:rPr>
        <w:t xml:space="preserve"> v. </w:t>
      </w:r>
      <w:proofErr w:type="spellStart"/>
      <w:r w:rsidRPr="00361047">
        <w:rPr>
          <w:rFonts w:ascii="Times New Roman" w:hAnsi="Times New Roman" w:cs="Times New Roman"/>
          <w:i/>
          <w:iCs/>
          <w:color w:val="000000"/>
          <w:sz w:val="18"/>
          <w:szCs w:val="18"/>
        </w:rPr>
        <w:t>Ireland</w:t>
      </w:r>
      <w:proofErr w:type="spellEnd"/>
      <w:r w:rsidRPr="00361047">
        <w:rPr>
          <w:rFonts w:ascii="Times New Roman" w:hAnsi="Times New Roman" w:cs="Times New Roman"/>
          <w:color w:val="000000"/>
          <w:sz w:val="18"/>
          <w:szCs w:val="18"/>
        </w:rPr>
        <w:t xml:space="preserve">, 6289/73; V. Zagrebelsky, R. </w:t>
      </w:r>
      <w:proofErr w:type="spellStart"/>
      <w:r w:rsidRPr="00361047">
        <w:rPr>
          <w:rFonts w:ascii="Times New Roman" w:hAnsi="Times New Roman" w:cs="Times New Roman"/>
          <w:color w:val="000000"/>
          <w:sz w:val="18"/>
          <w:szCs w:val="18"/>
        </w:rPr>
        <w:t>Chenal</w:t>
      </w:r>
      <w:proofErr w:type="spellEnd"/>
      <w:r w:rsidRPr="00361047">
        <w:rPr>
          <w:rFonts w:ascii="Times New Roman" w:hAnsi="Times New Roman" w:cs="Times New Roman"/>
          <w:color w:val="000000"/>
          <w:sz w:val="18"/>
          <w:szCs w:val="18"/>
        </w:rPr>
        <w:t xml:space="preserve">, L. Tomasi, </w:t>
      </w:r>
      <w:r w:rsidRPr="00361047">
        <w:rPr>
          <w:rFonts w:ascii="Times New Roman" w:hAnsi="Times New Roman" w:cs="Times New Roman"/>
          <w:i/>
          <w:iCs/>
          <w:color w:val="000000"/>
          <w:sz w:val="18"/>
          <w:szCs w:val="18"/>
        </w:rPr>
        <w:t>Manuale dei diritti fondamentali in Europa</w:t>
      </w:r>
      <w:r w:rsidRPr="00361047">
        <w:rPr>
          <w:rFonts w:ascii="Times New Roman" w:hAnsi="Times New Roman" w:cs="Times New Roman"/>
          <w:color w:val="000000"/>
          <w:sz w:val="18"/>
          <w:szCs w:val="18"/>
        </w:rPr>
        <w:t>, Bologna, 2016, pp. 203-204.</w:t>
      </w:r>
    </w:p>
  </w:footnote>
  <w:footnote w:id="18">
    <w:p w14:paraId="462620DA" w14:textId="596B5DB5" w:rsidR="003A1020" w:rsidRPr="00361047" w:rsidRDefault="003A1020" w:rsidP="0016158B">
      <w:pPr>
        <w:pStyle w:val="Pa3"/>
        <w:jc w:val="both"/>
        <w:rPr>
          <w:rFonts w:ascii="Times New Roman" w:hAnsi="Times New Roman" w:cs="Times New Roman"/>
          <w:color w:val="000000"/>
          <w:sz w:val="18"/>
          <w:szCs w:val="18"/>
        </w:rPr>
      </w:pPr>
      <w:r w:rsidRPr="00361047">
        <w:rPr>
          <w:rStyle w:val="Rimandonotaapidipagina"/>
          <w:rFonts w:ascii="Times New Roman" w:hAnsi="Times New Roman" w:cs="Times New Roman"/>
          <w:sz w:val="18"/>
          <w:szCs w:val="18"/>
        </w:rPr>
        <w:footnoteRef/>
      </w:r>
      <w:r w:rsidRPr="00361047">
        <w:rPr>
          <w:rFonts w:ascii="Times New Roman" w:hAnsi="Times New Roman" w:cs="Times New Roman"/>
          <w:sz w:val="18"/>
          <w:szCs w:val="18"/>
        </w:rPr>
        <w:t xml:space="preserve"> </w:t>
      </w:r>
      <w:r w:rsidR="0016158B" w:rsidRPr="00361047">
        <w:rPr>
          <w:rFonts w:ascii="Times New Roman" w:hAnsi="Times New Roman" w:cs="Times New Roman"/>
          <w:color w:val="000000"/>
          <w:sz w:val="18"/>
          <w:szCs w:val="18"/>
        </w:rPr>
        <w:t xml:space="preserve">Corte </w:t>
      </w:r>
      <w:proofErr w:type="spellStart"/>
      <w:r w:rsidR="0016158B" w:rsidRPr="00361047">
        <w:rPr>
          <w:rFonts w:ascii="Times New Roman" w:hAnsi="Times New Roman" w:cs="Times New Roman"/>
          <w:color w:val="000000"/>
          <w:sz w:val="18"/>
          <w:szCs w:val="18"/>
        </w:rPr>
        <w:t>Edu</w:t>
      </w:r>
      <w:proofErr w:type="spellEnd"/>
      <w:r w:rsidR="0016158B" w:rsidRPr="00361047">
        <w:rPr>
          <w:rFonts w:ascii="Times New Roman" w:hAnsi="Times New Roman" w:cs="Times New Roman"/>
          <w:color w:val="000000"/>
          <w:sz w:val="18"/>
          <w:szCs w:val="18"/>
        </w:rPr>
        <w:t xml:space="preserve">, 23 novembre 2006, </w:t>
      </w:r>
      <w:proofErr w:type="spellStart"/>
      <w:r w:rsidR="0016158B" w:rsidRPr="00361047">
        <w:rPr>
          <w:rFonts w:ascii="Times New Roman" w:hAnsi="Times New Roman" w:cs="Times New Roman"/>
          <w:i/>
          <w:iCs/>
          <w:color w:val="000000"/>
          <w:sz w:val="18"/>
          <w:szCs w:val="18"/>
        </w:rPr>
        <w:t>Jussila</w:t>
      </w:r>
      <w:proofErr w:type="spellEnd"/>
      <w:r w:rsidR="0016158B" w:rsidRPr="00361047">
        <w:rPr>
          <w:rFonts w:ascii="Times New Roman" w:hAnsi="Times New Roman" w:cs="Times New Roman"/>
          <w:i/>
          <w:iCs/>
          <w:color w:val="000000"/>
          <w:sz w:val="18"/>
          <w:szCs w:val="18"/>
        </w:rPr>
        <w:t xml:space="preserve"> v. </w:t>
      </w:r>
      <w:proofErr w:type="spellStart"/>
      <w:r w:rsidR="0016158B" w:rsidRPr="00361047">
        <w:rPr>
          <w:rFonts w:ascii="Times New Roman" w:hAnsi="Times New Roman" w:cs="Times New Roman"/>
          <w:i/>
          <w:iCs/>
          <w:color w:val="000000"/>
          <w:sz w:val="18"/>
          <w:szCs w:val="18"/>
        </w:rPr>
        <w:t>Finland</w:t>
      </w:r>
      <w:proofErr w:type="spellEnd"/>
      <w:r w:rsidR="0016158B" w:rsidRPr="00361047">
        <w:rPr>
          <w:rFonts w:ascii="Times New Roman" w:hAnsi="Times New Roman" w:cs="Times New Roman"/>
          <w:color w:val="000000"/>
          <w:sz w:val="18"/>
          <w:szCs w:val="18"/>
        </w:rPr>
        <w:t>, 73053/01, par. 41</w:t>
      </w:r>
      <w:r w:rsidR="00B71B5E" w:rsidRPr="00361047">
        <w:rPr>
          <w:rFonts w:ascii="Times New Roman" w:hAnsi="Times New Roman" w:cs="Times New Roman"/>
          <w:color w:val="000000"/>
          <w:sz w:val="18"/>
          <w:szCs w:val="18"/>
        </w:rPr>
        <w:t>.</w:t>
      </w:r>
    </w:p>
  </w:footnote>
  <w:footnote w:id="19">
    <w:p w14:paraId="5E5327A5" w14:textId="3CF0F586" w:rsidR="003E165B" w:rsidRPr="00361047" w:rsidRDefault="003E165B">
      <w:pPr>
        <w:pStyle w:val="Testonotaapidipagina"/>
        <w:rPr>
          <w:sz w:val="18"/>
          <w:szCs w:val="18"/>
          <w:lang w:val="it-IT"/>
        </w:rPr>
      </w:pPr>
      <w:r w:rsidRPr="00361047">
        <w:rPr>
          <w:rStyle w:val="Rimandonotaapidipagina"/>
          <w:sz w:val="18"/>
          <w:szCs w:val="18"/>
        </w:rPr>
        <w:footnoteRef/>
      </w:r>
      <w:r w:rsidRPr="00361047">
        <w:rPr>
          <w:sz w:val="18"/>
          <w:szCs w:val="18"/>
          <w:lang w:val="it-IT"/>
        </w:rPr>
        <w:t xml:space="preserve"> Corte di giustizia, </w:t>
      </w:r>
      <w:r w:rsidR="000F7131" w:rsidRPr="00361047">
        <w:rPr>
          <w:sz w:val="18"/>
          <w:szCs w:val="18"/>
          <w:lang w:val="it-IT"/>
        </w:rPr>
        <w:t xml:space="preserve">29 luglio 2019, </w:t>
      </w:r>
      <w:proofErr w:type="spellStart"/>
      <w:r w:rsidR="000F7131" w:rsidRPr="00361047">
        <w:rPr>
          <w:i/>
          <w:iCs/>
          <w:sz w:val="18"/>
          <w:szCs w:val="18"/>
          <w:lang w:val="it-IT"/>
        </w:rPr>
        <w:t>Torubarov</w:t>
      </w:r>
      <w:proofErr w:type="spellEnd"/>
      <w:r w:rsidR="004842E6" w:rsidRPr="00361047">
        <w:rPr>
          <w:sz w:val="18"/>
          <w:szCs w:val="18"/>
          <w:lang w:val="it-IT"/>
        </w:rPr>
        <w:t xml:space="preserve">, C-556/17, </w:t>
      </w:r>
      <w:r w:rsidR="003A6257" w:rsidRPr="00361047">
        <w:rPr>
          <w:sz w:val="18"/>
          <w:szCs w:val="18"/>
          <w:lang w:val="it-IT"/>
        </w:rPr>
        <w:t>ECLI:EU:C:2019:626.</w:t>
      </w:r>
    </w:p>
  </w:footnote>
  <w:footnote w:id="20">
    <w:p w14:paraId="539272C9" w14:textId="5CBD478D" w:rsidR="003A1020" w:rsidRPr="00361047" w:rsidRDefault="003A1020" w:rsidP="004379E9">
      <w:pPr>
        <w:pStyle w:val="Testonotaapidipagina"/>
        <w:jc w:val="both"/>
        <w:rPr>
          <w:sz w:val="18"/>
          <w:szCs w:val="18"/>
          <w:lang w:val="it-IT"/>
        </w:rPr>
      </w:pPr>
      <w:r w:rsidRPr="00361047">
        <w:rPr>
          <w:rStyle w:val="Rimandonotaapidipagina"/>
          <w:sz w:val="18"/>
          <w:szCs w:val="18"/>
        </w:rPr>
        <w:footnoteRef/>
      </w:r>
      <w:r w:rsidRPr="00361047">
        <w:rPr>
          <w:sz w:val="18"/>
          <w:szCs w:val="18"/>
          <w:lang w:val="it-IT"/>
        </w:rPr>
        <w:t xml:space="preserve"> </w:t>
      </w:r>
      <w:r w:rsidR="00811755" w:rsidRPr="00361047">
        <w:rPr>
          <w:sz w:val="18"/>
          <w:szCs w:val="18"/>
          <w:lang w:val="it-IT"/>
        </w:rPr>
        <w:t xml:space="preserve">Ordinanza del Tribunale di Milano, R.G. n. 44718/2017, in </w:t>
      </w:r>
      <w:r w:rsidR="008C5307" w:rsidRPr="00361047">
        <w:rPr>
          <w:sz w:val="18"/>
          <w:szCs w:val="18"/>
          <w:lang w:val="it-IT"/>
        </w:rPr>
        <w:t xml:space="preserve">Questionegiustizia.it, con nota di A. Adinolfi, </w:t>
      </w:r>
      <w:r w:rsidR="005F1AAD" w:rsidRPr="00361047">
        <w:rPr>
          <w:i/>
          <w:iCs/>
          <w:sz w:val="18"/>
          <w:szCs w:val="18"/>
          <w:lang w:val="it-IT"/>
        </w:rPr>
        <w:t>Diritto dell’Ue e soggiorno del richiedente protezione internazionale in attesa dell’esito del ricorso in Cassazione: qualche osservazione a margine dell’ordinanza di rinvio pregiudiziale del Tribunale di Milano (n. 44718/2017)</w:t>
      </w:r>
      <w:r w:rsidR="005F1AAD" w:rsidRPr="00361047">
        <w:rPr>
          <w:sz w:val="18"/>
          <w:szCs w:val="18"/>
          <w:lang w:val="it-IT"/>
        </w:rPr>
        <w:t>.</w:t>
      </w:r>
      <w:r w:rsidR="008C5307" w:rsidRPr="00361047">
        <w:rPr>
          <w:sz w:val="18"/>
          <w:szCs w:val="18"/>
          <w:lang w:val="it-IT"/>
        </w:rPr>
        <w:t xml:space="preserve"> </w:t>
      </w:r>
    </w:p>
  </w:footnote>
  <w:footnote w:id="21">
    <w:p w14:paraId="4E628C13" w14:textId="654CA00C" w:rsidR="00C17678" w:rsidRPr="00361047" w:rsidRDefault="00C17678">
      <w:pPr>
        <w:pStyle w:val="Testonotaapidipagina"/>
        <w:rPr>
          <w:sz w:val="18"/>
          <w:szCs w:val="18"/>
          <w:lang w:val="it-IT"/>
        </w:rPr>
      </w:pPr>
      <w:r w:rsidRPr="00361047">
        <w:rPr>
          <w:rStyle w:val="Rimandonotaapidipagina"/>
          <w:sz w:val="18"/>
          <w:szCs w:val="18"/>
        </w:rPr>
        <w:footnoteRef/>
      </w:r>
      <w:r w:rsidRPr="00361047">
        <w:rPr>
          <w:sz w:val="18"/>
          <w:szCs w:val="18"/>
          <w:lang w:val="it-IT"/>
        </w:rPr>
        <w:t xml:space="preserve"> </w:t>
      </w:r>
      <w:r w:rsidR="00B916EA" w:rsidRPr="00361047">
        <w:rPr>
          <w:sz w:val="18"/>
          <w:szCs w:val="18"/>
          <w:lang w:val="it-IT"/>
        </w:rPr>
        <w:t xml:space="preserve">Ordinanza del </w:t>
      </w:r>
      <w:r w:rsidRPr="00361047">
        <w:rPr>
          <w:sz w:val="18"/>
          <w:szCs w:val="18"/>
          <w:lang w:val="it-IT"/>
        </w:rPr>
        <w:t xml:space="preserve">27 settembre 2018, </w:t>
      </w:r>
      <w:r w:rsidR="00B916EA" w:rsidRPr="00361047">
        <w:rPr>
          <w:i/>
          <w:iCs/>
          <w:sz w:val="18"/>
          <w:szCs w:val="18"/>
          <w:lang w:val="it-IT"/>
        </w:rPr>
        <w:t>FR</w:t>
      </w:r>
      <w:r w:rsidR="00B916EA" w:rsidRPr="00361047">
        <w:rPr>
          <w:sz w:val="18"/>
          <w:szCs w:val="18"/>
          <w:lang w:val="it-IT"/>
        </w:rPr>
        <w:t xml:space="preserve">, </w:t>
      </w:r>
      <w:r w:rsidRPr="00361047">
        <w:rPr>
          <w:sz w:val="18"/>
          <w:szCs w:val="18"/>
          <w:lang w:val="it-IT"/>
        </w:rPr>
        <w:t>C-422/18 PPU</w:t>
      </w:r>
      <w:r w:rsidR="00A66CE8" w:rsidRPr="00361047">
        <w:rPr>
          <w:sz w:val="18"/>
          <w:szCs w:val="18"/>
          <w:lang w:val="it-IT"/>
        </w:rPr>
        <w:t xml:space="preserve">, </w:t>
      </w:r>
      <w:r w:rsidR="00B916EA" w:rsidRPr="00361047">
        <w:rPr>
          <w:sz w:val="18"/>
          <w:szCs w:val="18"/>
          <w:lang w:val="it-IT"/>
        </w:rPr>
        <w:t>ECLI:EU:C:2018:784.</w:t>
      </w:r>
    </w:p>
  </w:footnote>
  <w:footnote w:id="22">
    <w:p w14:paraId="65C33148" w14:textId="545584E4" w:rsidR="00C17678" w:rsidRPr="00361047" w:rsidRDefault="00C17678">
      <w:pPr>
        <w:pStyle w:val="Testonotaapidipagina"/>
        <w:rPr>
          <w:sz w:val="18"/>
          <w:szCs w:val="18"/>
          <w:lang w:val="it-IT"/>
        </w:rPr>
      </w:pPr>
      <w:r w:rsidRPr="00361047">
        <w:rPr>
          <w:rStyle w:val="Rimandonotaapidipagina"/>
          <w:sz w:val="18"/>
          <w:szCs w:val="18"/>
        </w:rPr>
        <w:footnoteRef/>
      </w:r>
      <w:r w:rsidRPr="00361047">
        <w:rPr>
          <w:sz w:val="18"/>
          <w:szCs w:val="18"/>
          <w:lang w:val="it-IT"/>
        </w:rPr>
        <w:t xml:space="preserve"> </w:t>
      </w:r>
      <w:r w:rsidR="00397100" w:rsidRPr="00361047">
        <w:rPr>
          <w:sz w:val="18"/>
          <w:szCs w:val="18"/>
          <w:lang w:val="it-IT"/>
        </w:rPr>
        <w:t>Corte di giustizia</w:t>
      </w:r>
      <w:r w:rsidRPr="00361047">
        <w:rPr>
          <w:sz w:val="18"/>
          <w:szCs w:val="18"/>
          <w:lang w:val="it-IT"/>
        </w:rPr>
        <w:t>,</w:t>
      </w:r>
      <w:r w:rsidR="00397100" w:rsidRPr="00361047">
        <w:rPr>
          <w:sz w:val="18"/>
          <w:szCs w:val="18"/>
          <w:lang w:val="it-IT"/>
        </w:rPr>
        <w:t xml:space="preserve"> sentenza del</w:t>
      </w:r>
      <w:r w:rsidRPr="00361047">
        <w:rPr>
          <w:sz w:val="18"/>
          <w:szCs w:val="18"/>
          <w:lang w:val="it-IT"/>
        </w:rPr>
        <w:t xml:space="preserve"> 26 settembre 2018, </w:t>
      </w:r>
      <w:r w:rsidR="00397100" w:rsidRPr="00361047">
        <w:rPr>
          <w:i/>
          <w:iCs/>
          <w:sz w:val="18"/>
          <w:szCs w:val="18"/>
          <w:lang w:val="it-IT"/>
        </w:rPr>
        <w:t>X, Y</w:t>
      </w:r>
      <w:r w:rsidR="00397100" w:rsidRPr="00361047">
        <w:rPr>
          <w:sz w:val="18"/>
          <w:szCs w:val="18"/>
          <w:lang w:val="it-IT"/>
        </w:rPr>
        <w:t xml:space="preserve">, </w:t>
      </w:r>
      <w:r w:rsidRPr="00361047">
        <w:rPr>
          <w:sz w:val="18"/>
          <w:szCs w:val="18"/>
          <w:lang w:val="it-IT"/>
        </w:rPr>
        <w:t>C-180/17</w:t>
      </w:r>
      <w:r w:rsidR="00A66CE8" w:rsidRPr="00361047">
        <w:rPr>
          <w:sz w:val="18"/>
          <w:szCs w:val="18"/>
          <w:lang w:val="it-IT"/>
        </w:rPr>
        <w:t>, EU:C:2018:775.</w:t>
      </w:r>
    </w:p>
  </w:footnote>
  <w:footnote w:id="23">
    <w:p w14:paraId="5C0FC361" w14:textId="615196AC" w:rsidR="00F0727F" w:rsidRPr="00361047" w:rsidRDefault="00F0727F" w:rsidP="00F0727F">
      <w:pPr>
        <w:pStyle w:val="Testonotaapidipagina"/>
        <w:jc w:val="both"/>
        <w:rPr>
          <w:sz w:val="18"/>
          <w:szCs w:val="18"/>
          <w:lang w:val="it-IT"/>
        </w:rPr>
      </w:pPr>
      <w:r w:rsidRPr="00361047">
        <w:rPr>
          <w:rStyle w:val="Rimandonotaapidipagina"/>
          <w:sz w:val="18"/>
          <w:szCs w:val="18"/>
        </w:rPr>
        <w:footnoteRef/>
      </w:r>
      <w:r w:rsidRPr="00361047">
        <w:rPr>
          <w:sz w:val="18"/>
          <w:szCs w:val="18"/>
          <w:lang w:val="it-IT"/>
        </w:rPr>
        <w:t xml:space="preserve"> </w:t>
      </w:r>
      <w:r w:rsidR="00BF3722" w:rsidRPr="00361047">
        <w:rPr>
          <w:sz w:val="18"/>
          <w:szCs w:val="18"/>
          <w:lang w:val="it-IT"/>
        </w:rPr>
        <w:t xml:space="preserve"> </w:t>
      </w:r>
      <w:r w:rsidRPr="00361047">
        <w:rPr>
          <w:sz w:val="18"/>
          <w:szCs w:val="18"/>
          <w:lang w:val="it-IT"/>
        </w:rPr>
        <w:t xml:space="preserve">Corte EDU, 5 luglio 2016, </w:t>
      </w:r>
      <w:r w:rsidRPr="00361047">
        <w:rPr>
          <w:i/>
          <w:sz w:val="18"/>
          <w:szCs w:val="18"/>
          <w:lang w:val="it-IT"/>
        </w:rPr>
        <w:t>A.M. c. Paesi Bassi</w:t>
      </w:r>
      <w:r w:rsidRPr="00361047">
        <w:rPr>
          <w:sz w:val="18"/>
          <w:szCs w:val="18"/>
          <w:lang w:val="it-IT"/>
        </w:rPr>
        <w:t xml:space="preserve">, </w:t>
      </w:r>
      <w:proofErr w:type="gramStart"/>
      <w:r w:rsidRPr="00361047">
        <w:rPr>
          <w:sz w:val="18"/>
          <w:szCs w:val="18"/>
          <w:lang w:val="it-IT"/>
        </w:rPr>
        <w:t>CE:ECHR</w:t>
      </w:r>
      <w:proofErr w:type="gramEnd"/>
      <w:r w:rsidRPr="00361047">
        <w:rPr>
          <w:sz w:val="18"/>
          <w:szCs w:val="18"/>
          <w:lang w:val="it-IT"/>
        </w:rPr>
        <w:t>:2016:0705JUD002909409, punto 70.</w:t>
      </w:r>
    </w:p>
  </w:footnote>
  <w:footnote w:id="24">
    <w:p w14:paraId="0344C629" w14:textId="7FCB0C0E" w:rsidR="00AE5ED0" w:rsidRPr="00361047" w:rsidRDefault="00AE5ED0" w:rsidP="00AE5ED0">
      <w:pPr>
        <w:pStyle w:val="Testonotaapidipagina"/>
        <w:jc w:val="both"/>
        <w:rPr>
          <w:sz w:val="18"/>
          <w:szCs w:val="18"/>
          <w:lang w:val="it-IT"/>
        </w:rPr>
      </w:pPr>
      <w:r w:rsidRPr="00361047">
        <w:rPr>
          <w:rStyle w:val="Rimandonotaapidipagina"/>
          <w:sz w:val="18"/>
          <w:szCs w:val="18"/>
        </w:rPr>
        <w:footnoteRef/>
      </w:r>
      <w:r w:rsidRPr="00361047">
        <w:rPr>
          <w:sz w:val="18"/>
          <w:szCs w:val="18"/>
          <w:lang w:val="it-IT"/>
        </w:rPr>
        <w:t xml:space="preserve">  </w:t>
      </w:r>
      <w:r w:rsidR="00F0727F" w:rsidRPr="00361047">
        <w:rPr>
          <w:sz w:val="18"/>
          <w:szCs w:val="18"/>
          <w:lang w:val="it-IT"/>
        </w:rPr>
        <w:t>CGUE, s</w:t>
      </w:r>
      <w:r w:rsidRPr="00361047">
        <w:rPr>
          <w:sz w:val="18"/>
          <w:szCs w:val="18"/>
          <w:lang w:val="it-IT"/>
        </w:rPr>
        <w:t xml:space="preserve">entenza del 17 luglio 2014, </w:t>
      </w:r>
      <w:proofErr w:type="spellStart"/>
      <w:r w:rsidRPr="00361047">
        <w:rPr>
          <w:i/>
          <w:iCs/>
          <w:sz w:val="18"/>
          <w:szCs w:val="18"/>
          <w:lang w:val="it-IT"/>
        </w:rPr>
        <w:t>Sánchez</w:t>
      </w:r>
      <w:proofErr w:type="spellEnd"/>
      <w:r w:rsidRPr="00361047">
        <w:rPr>
          <w:i/>
          <w:iCs/>
          <w:sz w:val="18"/>
          <w:szCs w:val="18"/>
          <w:lang w:val="it-IT"/>
        </w:rPr>
        <w:t xml:space="preserve"> </w:t>
      </w:r>
      <w:proofErr w:type="spellStart"/>
      <w:r w:rsidRPr="00361047">
        <w:rPr>
          <w:i/>
          <w:iCs/>
          <w:sz w:val="18"/>
          <w:szCs w:val="18"/>
          <w:lang w:val="it-IT"/>
        </w:rPr>
        <w:t>Morcillo</w:t>
      </w:r>
      <w:proofErr w:type="spellEnd"/>
      <w:r w:rsidRPr="00361047">
        <w:rPr>
          <w:i/>
          <w:iCs/>
          <w:sz w:val="18"/>
          <w:szCs w:val="18"/>
          <w:lang w:val="it-IT"/>
        </w:rPr>
        <w:t xml:space="preserve"> e Abril García</w:t>
      </w:r>
      <w:r w:rsidRPr="00361047">
        <w:rPr>
          <w:sz w:val="18"/>
          <w:szCs w:val="18"/>
          <w:lang w:val="it-IT"/>
        </w:rPr>
        <w:t xml:space="preserve">, C-169/14, EU:C:2014:2099, punti 31, 36 e 50, e giurisprudenza ivi citata, nonché ordinanza del 16 luglio 2015, </w:t>
      </w:r>
      <w:proofErr w:type="spellStart"/>
      <w:r w:rsidRPr="00361047">
        <w:rPr>
          <w:i/>
          <w:iCs/>
          <w:sz w:val="18"/>
          <w:szCs w:val="18"/>
          <w:lang w:val="it-IT"/>
        </w:rPr>
        <w:t>Sánchez</w:t>
      </w:r>
      <w:proofErr w:type="spellEnd"/>
      <w:r w:rsidRPr="00361047">
        <w:rPr>
          <w:i/>
          <w:iCs/>
          <w:sz w:val="18"/>
          <w:szCs w:val="18"/>
          <w:lang w:val="it-IT"/>
        </w:rPr>
        <w:t xml:space="preserve"> </w:t>
      </w:r>
      <w:proofErr w:type="spellStart"/>
      <w:r w:rsidRPr="00361047">
        <w:rPr>
          <w:i/>
          <w:iCs/>
          <w:sz w:val="18"/>
          <w:szCs w:val="18"/>
          <w:lang w:val="it-IT"/>
        </w:rPr>
        <w:t>Morcillo</w:t>
      </w:r>
      <w:proofErr w:type="spellEnd"/>
      <w:r w:rsidRPr="00361047">
        <w:rPr>
          <w:i/>
          <w:iCs/>
          <w:sz w:val="18"/>
          <w:szCs w:val="18"/>
          <w:lang w:val="it-IT"/>
        </w:rPr>
        <w:t xml:space="preserve"> e Abril García</w:t>
      </w:r>
      <w:r w:rsidRPr="00361047">
        <w:rPr>
          <w:sz w:val="18"/>
          <w:szCs w:val="18"/>
          <w:lang w:val="it-IT"/>
        </w:rPr>
        <w:t>, C-539/14, EU:C:2015:508, punto 33</w:t>
      </w:r>
      <w:r w:rsidR="007B14A3" w:rsidRPr="00361047">
        <w:rPr>
          <w:sz w:val="18"/>
          <w:szCs w:val="18"/>
          <w:lang w:val="it-IT"/>
        </w:rPr>
        <w:t>.</w:t>
      </w:r>
    </w:p>
  </w:footnote>
  <w:footnote w:id="25">
    <w:p w14:paraId="1C5FA67B" w14:textId="4CE808D2" w:rsidR="00816C83" w:rsidRPr="00361047" w:rsidRDefault="00816C83" w:rsidP="00816C83">
      <w:pPr>
        <w:spacing w:after="0" w:line="360" w:lineRule="auto"/>
        <w:contextualSpacing/>
        <w:jc w:val="both"/>
        <w:rPr>
          <w:rFonts w:ascii="Times New Roman" w:hAnsi="Times New Roman" w:cs="Times New Roman"/>
          <w:sz w:val="18"/>
          <w:szCs w:val="18"/>
          <w:lang w:val="it-IT"/>
        </w:rPr>
      </w:pPr>
      <w:r w:rsidRPr="00361047">
        <w:rPr>
          <w:rStyle w:val="Rimandonotaapidipagina"/>
          <w:rFonts w:ascii="Times New Roman" w:hAnsi="Times New Roman" w:cs="Times New Roman"/>
          <w:sz w:val="18"/>
          <w:szCs w:val="18"/>
        </w:rPr>
        <w:footnoteRef/>
      </w:r>
      <w:r w:rsidRPr="00361047">
        <w:rPr>
          <w:rFonts w:ascii="Times New Roman" w:hAnsi="Times New Roman" w:cs="Times New Roman"/>
          <w:sz w:val="18"/>
          <w:szCs w:val="18"/>
          <w:lang w:val="it-IT"/>
        </w:rPr>
        <w:t xml:space="preserve"> Sentenza del 26 settembre 2018, </w:t>
      </w:r>
      <w:r w:rsidR="002E0C78" w:rsidRPr="00361047">
        <w:rPr>
          <w:rFonts w:ascii="Times New Roman" w:hAnsi="Times New Roman" w:cs="Times New Roman"/>
          <w:i/>
          <w:iCs/>
          <w:sz w:val="18"/>
          <w:szCs w:val="18"/>
          <w:lang w:val="it-IT"/>
        </w:rPr>
        <w:t>X e Y</w:t>
      </w:r>
      <w:r w:rsidR="00015C69" w:rsidRPr="00361047">
        <w:rPr>
          <w:rFonts w:ascii="Times New Roman" w:hAnsi="Times New Roman" w:cs="Times New Roman"/>
          <w:sz w:val="18"/>
          <w:szCs w:val="18"/>
          <w:lang w:val="it-IT"/>
        </w:rPr>
        <w:t xml:space="preserve">, </w:t>
      </w:r>
      <w:r w:rsidRPr="00361047">
        <w:rPr>
          <w:rFonts w:ascii="Times New Roman" w:hAnsi="Times New Roman" w:cs="Times New Roman"/>
          <w:sz w:val="18"/>
          <w:szCs w:val="18"/>
          <w:lang w:val="it-IT"/>
        </w:rPr>
        <w:t xml:space="preserve">C-180/17, </w:t>
      </w:r>
      <w:bookmarkStart w:id="3" w:name="_Hlk21266255"/>
      <w:r w:rsidRPr="00361047">
        <w:rPr>
          <w:rFonts w:ascii="Times New Roman" w:hAnsi="Times New Roman" w:cs="Times New Roman"/>
          <w:sz w:val="18"/>
          <w:szCs w:val="18"/>
          <w:lang w:val="it-IT"/>
        </w:rPr>
        <w:t>EU:C:2018:775,</w:t>
      </w:r>
      <w:bookmarkEnd w:id="3"/>
      <w:r w:rsidRPr="00361047">
        <w:rPr>
          <w:rFonts w:ascii="Times New Roman" w:hAnsi="Times New Roman" w:cs="Times New Roman"/>
          <w:sz w:val="18"/>
          <w:szCs w:val="18"/>
          <w:lang w:val="it-IT"/>
        </w:rPr>
        <w:t xml:space="preserve"> punto 43.</w:t>
      </w:r>
    </w:p>
    <w:p w14:paraId="6087CA6C" w14:textId="0591BF7E" w:rsidR="00816C83" w:rsidRPr="00361047" w:rsidRDefault="00816C83">
      <w:pPr>
        <w:pStyle w:val="Testonotaapidipagina"/>
        <w:rPr>
          <w:sz w:val="18"/>
          <w:szCs w:val="18"/>
          <w:lang w:val="it-IT"/>
        </w:rPr>
      </w:pPr>
    </w:p>
  </w:footnote>
  <w:footnote w:id="26">
    <w:p w14:paraId="7E8BCBAC" w14:textId="45DE109E" w:rsidR="00C60696" w:rsidRPr="00361047" w:rsidRDefault="00C60696" w:rsidP="00F74D5C">
      <w:pPr>
        <w:pStyle w:val="Testonotaapidipagina"/>
        <w:jc w:val="both"/>
        <w:rPr>
          <w:sz w:val="18"/>
          <w:szCs w:val="18"/>
          <w:lang w:val="it-IT"/>
        </w:rPr>
      </w:pPr>
      <w:r w:rsidRPr="00361047">
        <w:rPr>
          <w:rStyle w:val="Rimandonotaapidipagina"/>
          <w:sz w:val="18"/>
          <w:szCs w:val="18"/>
        </w:rPr>
        <w:footnoteRef/>
      </w:r>
      <w:r w:rsidRPr="00361047">
        <w:rPr>
          <w:sz w:val="18"/>
          <w:szCs w:val="18"/>
          <w:lang w:val="it-IT"/>
        </w:rPr>
        <w:t xml:space="preserve"> Da ultimo si veda la quasi coeva sentenza della Corte di giustizia, 24</w:t>
      </w:r>
      <w:r w:rsidR="00FA04E0" w:rsidRPr="00361047">
        <w:rPr>
          <w:sz w:val="18"/>
          <w:szCs w:val="18"/>
          <w:lang w:val="it-IT"/>
        </w:rPr>
        <w:t xml:space="preserve"> o</w:t>
      </w:r>
      <w:r w:rsidRPr="00361047">
        <w:rPr>
          <w:sz w:val="18"/>
          <w:szCs w:val="18"/>
          <w:lang w:val="it-IT"/>
        </w:rPr>
        <w:t>ttobre 2018</w:t>
      </w:r>
      <w:r w:rsidR="00FA04E0" w:rsidRPr="00361047">
        <w:rPr>
          <w:sz w:val="18"/>
          <w:szCs w:val="18"/>
          <w:lang w:val="it-IT"/>
        </w:rPr>
        <w:t>,</w:t>
      </w:r>
      <w:r w:rsidR="000115DF" w:rsidRPr="00361047">
        <w:rPr>
          <w:sz w:val="18"/>
          <w:szCs w:val="18"/>
          <w:lang w:val="it-IT"/>
        </w:rPr>
        <w:t xml:space="preserve"> </w:t>
      </w:r>
      <w:r w:rsidR="000115DF" w:rsidRPr="00361047">
        <w:rPr>
          <w:i/>
          <w:iCs/>
          <w:sz w:val="18"/>
          <w:szCs w:val="18"/>
          <w:lang w:val="it-IT"/>
        </w:rPr>
        <w:t>CX e a.</w:t>
      </w:r>
      <w:r w:rsidR="000115DF" w:rsidRPr="00361047">
        <w:rPr>
          <w:sz w:val="18"/>
          <w:szCs w:val="18"/>
          <w:lang w:val="it-IT"/>
        </w:rPr>
        <w:t xml:space="preserve">, </w:t>
      </w:r>
      <w:r w:rsidR="00FA04E0" w:rsidRPr="00361047">
        <w:rPr>
          <w:sz w:val="18"/>
          <w:szCs w:val="18"/>
          <w:lang w:val="it-IT"/>
        </w:rPr>
        <w:t>C-234/17</w:t>
      </w:r>
      <w:r w:rsidR="00F74D5C" w:rsidRPr="00361047">
        <w:rPr>
          <w:sz w:val="18"/>
          <w:szCs w:val="18"/>
          <w:lang w:val="it-IT"/>
        </w:rPr>
        <w:t>, ECLI:EU:C:2018:853.</w:t>
      </w:r>
    </w:p>
  </w:footnote>
  <w:footnote w:id="27">
    <w:p w14:paraId="0C26BD19" w14:textId="76AE5DBE" w:rsidR="00064EF7" w:rsidRPr="00361047" w:rsidRDefault="00064EF7">
      <w:pPr>
        <w:pStyle w:val="Testonotaapidipagina"/>
        <w:rPr>
          <w:sz w:val="18"/>
          <w:szCs w:val="18"/>
          <w:lang w:val="it-IT"/>
        </w:rPr>
      </w:pPr>
      <w:r w:rsidRPr="00361047">
        <w:rPr>
          <w:rStyle w:val="Rimandonotaapidipagina"/>
          <w:sz w:val="18"/>
          <w:szCs w:val="18"/>
        </w:rPr>
        <w:footnoteRef/>
      </w:r>
      <w:r w:rsidRPr="00361047">
        <w:rPr>
          <w:sz w:val="18"/>
          <w:szCs w:val="18"/>
          <w:lang w:val="it-IT"/>
        </w:rPr>
        <w:t xml:space="preserve"> Corte di giustizia, sentenza del 14 maggio 2019, </w:t>
      </w:r>
      <w:r w:rsidRPr="00361047">
        <w:rPr>
          <w:i/>
          <w:sz w:val="18"/>
          <w:szCs w:val="18"/>
          <w:lang w:val="it-IT"/>
        </w:rPr>
        <w:t>M</w:t>
      </w:r>
      <w:r w:rsidRPr="00361047">
        <w:rPr>
          <w:sz w:val="18"/>
          <w:szCs w:val="18"/>
          <w:lang w:val="it-IT"/>
        </w:rPr>
        <w:t>, C-391/16</w:t>
      </w:r>
      <w:r w:rsidR="00806A80" w:rsidRPr="00361047">
        <w:rPr>
          <w:sz w:val="18"/>
          <w:szCs w:val="18"/>
          <w:lang w:val="it-IT"/>
        </w:rPr>
        <w:t>, punti</w:t>
      </w:r>
      <w:r w:rsidRPr="00361047">
        <w:rPr>
          <w:sz w:val="18"/>
          <w:szCs w:val="18"/>
          <w:lang w:val="it-IT"/>
        </w:rPr>
        <w:t xml:space="preserve"> </w:t>
      </w:r>
      <w:r w:rsidR="00806A80" w:rsidRPr="00361047">
        <w:rPr>
          <w:sz w:val="18"/>
          <w:szCs w:val="18"/>
          <w:lang w:val="it-IT"/>
        </w:rPr>
        <w:t>96 e 111.</w:t>
      </w:r>
    </w:p>
  </w:footnote>
  <w:footnote w:id="28">
    <w:p w14:paraId="21939987" w14:textId="77777777" w:rsidR="00DB247A" w:rsidRPr="00361047" w:rsidRDefault="00DB247A" w:rsidP="00DB247A">
      <w:pPr>
        <w:pStyle w:val="Testonotaapidipagina"/>
        <w:rPr>
          <w:sz w:val="18"/>
          <w:szCs w:val="18"/>
          <w:lang w:val="it-IT"/>
        </w:rPr>
      </w:pPr>
      <w:r w:rsidRPr="00361047">
        <w:rPr>
          <w:rStyle w:val="Rimandonotaapidipagina"/>
          <w:sz w:val="18"/>
          <w:szCs w:val="18"/>
        </w:rPr>
        <w:footnoteRef/>
      </w:r>
      <w:r w:rsidRPr="00361047">
        <w:rPr>
          <w:sz w:val="18"/>
          <w:szCs w:val="18"/>
          <w:lang w:val="it-IT"/>
        </w:rPr>
        <w:t xml:space="preserve"> Sulle altre norme internazionali che dispongono di limite analogo di allontanamento sia permesso il rinvio al nostro </w:t>
      </w:r>
      <w:r w:rsidRPr="00361047">
        <w:rPr>
          <w:i/>
          <w:sz w:val="18"/>
          <w:szCs w:val="18"/>
          <w:lang w:val="it-IT"/>
        </w:rPr>
        <w:t>I limiti internazionali all’espulsione degli stranieri</w:t>
      </w:r>
      <w:r w:rsidRPr="00361047">
        <w:rPr>
          <w:sz w:val="18"/>
          <w:szCs w:val="18"/>
          <w:lang w:val="it-IT"/>
        </w:rPr>
        <w:t>, Viterbo, 1998.</w:t>
      </w:r>
    </w:p>
  </w:footnote>
  <w:footnote w:id="29">
    <w:p w14:paraId="771BAA4C" w14:textId="50C55ED5" w:rsidR="007777F8" w:rsidRPr="00361047" w:rsidRDefault="007777F8" w:rsidP="00E544C7">
      <w:pPr>
        <w:pStyle w:val="Testonotaapidipagina"/>
        <w:rPr>
          <w:sz w:val="18"/>
          <w:szCs w:val="18"/>
          <w:lang w:val="it-IT"/>
        </w:rPr>
      </w:pPr>
      <w:r w:rsidRPr="00361047">
        <w:rPr>
          <w:rStyle w:val="Rimandonotaapidipagina"/>
          <w:sz w:val="18"/>
          <w:szCs w:val="18"/>
        </w:rPr>
        <w:footnoteRef/>
      </w:r>
      <w:r w:rsidRPr="00361047">
        <w:rPr>
          <w:sz w:val="18"/>
          <w:szCs w:val="18"/>
          <w:lang w:val="it-IT"/>
        </w:rPr>
        <w:t xml:space="preserve"> </w:t>
      </w:r>
      <w:r w:rsidR="00E544C7" w:rsidRPr="00361047">
        <w:rPr>
          <w:sz w:val="18"/>
          <w:szCs w:val="18"/>
          <w:lang w:val="it-IT"/>
        </w:rPr>
        <w:t xml:space="preserve">Corte di giustizia, sentenza del 24 aprile 2018, </w:t>
      </w:r>
      <w:r w:rsidR="00E544C7" w:rsidRPr="00361047">
        <w:rPr>
          <w:i/>
          <w:sz w:val="18"/>
          <w:szCs w:val="18"/>
          <w:lang w:val="it-IT"/>
        </w:rPr>
        <w:t>MP</w:t>
      </w:r>
      <w:r w:rsidR="00E544C7" w:rsidRPr="00361047">
        <w:rPr>
          <w:sz w:val="18"/>
          <w:szCs w:val="18"/>
          <w:lang w:val="it-IT"/>
        </w:rPr>
        <w:t>, C-353/16</w:t>
      </w:r>
      <w:r w:rsidR="00492A00" w:rsidRPr="00361047">
        <w:rPr>
          <w:sz w:val="18"/>
          <w:szCs w:val="18"/>
          <w:lang w:val="it-IT"/>
        </w:rPr>
        <w:t xml:space="preserve">; </w:t>
      </w:r>
      <w:r w:rsidR="00C410A8" w:rsidRPr="00361047">
        <w:rPr>
          <w:sz w:val="18"/>
          <w:szCs w:val="18"/>
          <w:lang w:val="it-IT"/>
        </w:rPr>
        <w:t xml:space="preserve">sentenza del </w:t>
      </w:r>
      <w:r w:rsidR="00DA3B8A" w:rsidRPr="00361047">
        <w:rPr>
          <w:sz w:val="18"/>
          <w:szCs w:val="18"/>
          <w:lang w:val="it-IT"/>
        </w:rPr>
        <w:t xml:space="preserve">24 giugno 2015, </w:t>
      </w:r>
      <w:r w:rsidR="00DA3B8A" w:rsidRPr="00361047">
        <w:rPr>
          <w:i/>
          <w:iCs/>
          <w:sz w:val="18"/>
          <w:szCs w:val="18"/>
          <w:lang w:val="it-IT"/>
        </w:rPr>
        <w:t>H.T.</w:t>
      </w:r>
      <w:r w:rsidR="00DA3B8A" w:rsidRPr="00361047">
        <w:rPr>
          <w:sz w:val="18"/>
          <w:szCs w:val="18"/>
          <w:lang w:val="it-IT"/>
        </w:rPr>
        <w:t xml:space="preserve">, </w:t>
      </w:r>
      <w:r w:rsidR="00C410A8" w:rsidRPr="00361047">
        <w:rPr>
          <w:sz w:val="18"/>
          <w:szCs w:val="18"/>
          <w:lang w:val="it-IT"/>
        </w:rPr>
        <w:t>C-373/13</w:t>
      </w:r>
    </w:p>
  </w:footnote>
  <w:footnote w:id="30">
    <w:p w14:paraId="6D3F5356" w14:textId="37931921" w:rsidR="00033AFA" w:rsidRPr="00361047" w:rsidRDefault="00033AFA">
      <w:pPr>
        <w:pStyle w:val="Testonotaapidipagina"/>
        <w:rPr>
          <w:sz w:val="18"/>
          <w:szCs w:val="18"/>
          <w:lang w:val="it-IT"/>
        </w:rPr>
      </w:pPr>
      <w:r w:rsidRPr="00361047">
        <w:rPr>
          <w:rStyle w:val="Rimandonotaapidipagina"/>
          <w:sz w:val="18"/>
          <w:szCs w:val="18"/>
        </w:rPr>
        <w:footnoteRef/>
      </w:r>
      <w:r w:rsidRPr="00361047">
        <w:rPr>
          <w:sz w:val="18"/>
          <w:szCs w:val="18"/>
          <w:lang w:val="it-IT"/>
        </w:rPr>
        <w:t xml:space="preserve"> Corte di giustizia, </w:t>
      </w:r>
      <w:r w:rsidRPr="00361047">
        <w:rPr>
          <w:i/>
          <w:sz w:val="18"/>
          <w:szCs w:val="18"/>
          <w:lang w:val="it-IT"/>
        </w:rPr>
        <w:t>MP</w:t>
      </w:r>
      <w:r w:rsidRPr="00361047">
        <w:rPr>
          <w:sz w:val="18"/>
          <w:szCs w:val="18"/>
          <w:lang w:val="it-IT"/>
        </w:rPr>
        <w:t xml:space="preserve">, </w:t>
      </w:r>
      <w:r w:rsidR="00492A00" w:rsidRPr="00361047">
        <w:rPr>
          <w:sz w:val="18"/>
          <w:szCs w:val="18"/>
          <w:lang w:val="it-IT"/>
        </w:rPr>
        <w:t xml:space="preserve">cit., </w:t>
      </w:r>
      <w:r w:rsidRPr="00361047">
        <w:rPr>
          <w:sz w:val="18"/>
          <w:szCs w:val="18"/>
          <w:lang w:val="it-IT"/>
        </w:rPr>
        <w:t>par. 45.</w:t>
      </w:r>
    </w:p>
  </w:footnote>
  <w:footnote w:id="31">
    <w:p w14:paraId="47BD9B3B" w14:textId="6C2AF8BA" w:rsidR="00345EE6" w:rsidRPr="00361047" w:rsidRDefault="00345EE6" w:rsidP="002126CF">
      <w:pPr>
        <w:pStyle w:val="Testonotaapidipagina"/>
        <w:jc w:val="both"/>
        <w:rPr>
          <w:sz w:val="18"/>
          <w:szCs w:val="18"/>
          <w:lang w:val="it-IT"/>
        </w:rPr>
      </w:pPr>
      <w:r w:rsidRPr="00361047">
        <w:rPr>
          <w:rStyle w:val="Rimandonotaapidipagina"/>
          <w:sz w:val="18"/>
          <w:szCs w:val="18"/>
        </w:rPr>
        <w:footnoteRef/>
      </w:r>
      <w:r w:rsidRPr="00361047">
        <w:rPr>
          <w:sz w:val="18"/>
          <w:szCs w:val="18"/>
          <w:lang w:val="it-IT"/>
        </w:rPr>
        <w:t xml:space="preserve"> </w:t>
      </w:r>
      <w:r w:rsidR="002126CF" w:rsidRPr="00361047">
        <w:rPr>
          <w:sz w:val="18"/>
          <w:szCs w:val="18"/>
          <w:lang w:val="it-IT"/>
        </w:rPr>
        <w:t xml:space="preserve">Corte di giustizia Ue, 9 novembre 2010, C-57/09, </w:t>
      </w:r>
      <w:r w:rsidR="002126CF" w:rsidRPr="00361047">
        <w:rPr>
          <w:i/>
          <w:iCs/>
          <w:sz w:val="18"/>
          <w:szCs w:val="18"/>
          <w:lang w:val="it-IT"/>
        </w:rPr>
        <w:t>B. e D.</w:t>
      </w:r>
      <w:r w:rsidR="002126CF" w:rsidRPr="00361047">
        <w:rPr>
          <w:sz w:val="18"/>
          <w:szCs w:val="18"/>
          <w:lang w:val="it-IT"/>
        </w:rPr>
        <w:t xml:space="preserve">, punti 118-121; 18 dicembre 2014, C-542/13, </w:t>
      </w:r>
      <w:r w:rsidR="002126CF" w:rsidRPr="00361047">
        <w:rPr>
          <w:i/>
          <w:iCs/>
          <w:sz w:val="18"/>
          <w:szCs w:val="18"/>
          <w:lang w:val="it-IT"/>
        </w:rPr>
        <w:t>M’</w:t>
      </w:r>
      <w:proofErr w:type="spellStart"/>
      <w:r w:rsidR="002126CF" w:rsidRPr="00361047">
        <w:rPr>
          <w:i/>
          <w:iCs/>
          <w:sz w:val="18"/>
          <w:szCs w:val="18"/>
          <w:lang w:val="it-IT"/>
        </w:rPr>
        <w:t>Bodj</w:t>
      </w:r>
      <w:proofErr w:type="spellEnd"/>
      <w:r w:rsidR="002126CF" w:rsidRPr="00361047">
        <w:rPr>
          <w:sz w:val="18"/>
          <w:szCs w:val="18"/>
          <w:lang w:val="it-IT"/>
        </w:rPr>
        <w:t>, punti 43-47.</w:t>
      </w:r>
    </w:p>
  </w:footnote>
  <w:footnote w:id="32">
    <w:p w14:paraId="4AD84A54" w14:textId="77777777" w:rsidR="00345EE6" w:rsidRPr="00361047" w:rsidRDefault="00345EE6" w:rsidP="00C06BAE">
      <w:pPr>
        <w:spacing w:after="0" w:line="240" w:lineRule="auto"/>
        <w:jc w:val="both"/>
        <w:rPr>
          <w:rFonts w:ascii="Times New Roman" w:eastAsia="Times New Roman" w:hAnsi="Times New Roman" w:cs="Times New Roman"/>
          <w:sz w:val="18"/>
          <w:szCs w:val="18"/>
          <w:lang w:val="it-IT" w:eastAsia="it-IT"/>
        </w:rPr>
      </w:pPr>
      <w:r w:rsidRPr="00361047">
        <w:rPr>
          <w:rStyle w:val="Rimandonotaapidipagina"/>
          <w:rFonts w:ascii="Times New Roman" w:hAnsi="Times New Roman" w:cs="Times New Roman"/>
          <w:sz w:val="18"/>
          <w:szCs w:val="18"/>
        </w:rPr>
        <w:footnoteRef/>
      </w:r>
      <w:r w:rsidRPr="00361047">
        <w:rPr>
          <w:rFonts w:ascii="Times New Roman" w:hAnsi="Times New Roman" w:cs="Times New Roman"/>
          <w:sz w:val="18"/>
          <w:szCs w:val="18"/>
          <w:lang w:val="it-IT"/>
        </w:rPr>
        <w:t xml:space="preserve"> Si veda ad es. la </w:t>
      </w:r>
      <w:r w:rsidRPr="00361047">
        <w:rPr>
          <w:rFonts w:ascii="Times New Roman" w:eastAsia="Times New Roman" w:hAnsi="Times New Roman" w:cs="Times New Roman"/>
          <w:sz w:val="18"/>
          <w:szCs w:val="18"/>
          <w:lang w:val="it-IT" w:eastAsia="it-IT"/>
        </w:rPr>
        <w:t>proposta di regolamento presentata dalla Commissione [COM(2016)467 del 13 luglio 2016, che stabilisce una procedura comune di protezione internazionale nell'Unione e abroga la direttiva 2013/32/UE] che intenderebbe dettare norme assai più precise anche riguardo ai mezzi di ricorso, stabilendo i termini per l’impugnazione (art. 53), la durata massima del procedimento di primo grado (art. 55) e dedicando un articolo specifico all’effetto sospensivo della impugnazione, formulato, tuttavia, in modo non dissimile rispetto alla direttiva ora in vigore (art. 54); a tale ultimo riguardo si precisa che il «richiedente che impugna ulteriormente la decisione scaturita dalla prima o da ulteriore impugnazione non ha diritto di rimanere nel territorio dello Stato membro a meno che il giudice decida diversamente su istanza del richiedente o d'ufficio» (art. 54, paragrafo 5). Nella relazione che accompagna la proposta, si precisa, tuttavia, nello spiegare il contenuto dell’art. 54, che «come regola generale, affinché il richiedente possa esercitare il diritto a un ricorso effettivo, gli è permesso di rimanere nel territorio dello Stato membro fino alla scadenza del termine per la presentazione del ricorso nel primo grado d'impugnazione e, se esercita tale diritto, in attesa dell'esito del ricorso» (corsivo aggiunto). La sospensione è inoltre collegata al criterio del Paese di origine sicuro (art. 36).</w:t>
      </w:r>
    </w:p>
  </w:footnote>
  <w:footnote w:id="33">
    <w:p w14:paraId="20FBE4DC" w14:textId="6CE13F59" w:rsidR="002066EC" w:rsidRPr="00361047" w:rsidRDefault="002066EC" w:rsidP="00C06BAE">
      <w:pPr>
        <w:pStyle w:val="Testonotaapidipagina"/>
        <w:rPr>
          <w:sz w:val="18"/>
          <w:szCs w:val="18"/>
          <w:lang w:val="it-IT"/>
        </w:rPr>
      </w:pPr>
      <w:r w:rsidRPr="00361047">
        <w:rPr>
          <w:rStyle w:val="Rimandonotaapidipagina"/>
          <w:sz w:val="18"/>
          <w:szCs w:val="18"/>
        </w:rPr>
        <w:footnoteRef/>
      </w:r>
      <w:r w:rsidRPr="00361047">
        <w:rPr>
          <w:sz w:val="18"/>
          <w:szCs w:val="18"/>
          <w:lang w:val="it-IT"/>
        </w:rPr>
        <w:t xml:space="preserve"> </w:t>
      </w:r>
      <w:r w:rsidR="00C06BAE" w:rsidRPr="00361047">
        <w:rPr>
          <w:sz w:val="18"/>
          <w:szCs w:val="18"/>
          <w:lang w:val="it-IT"/>
        </w:rPr>
        <w:t xml:space="preserve">Benvenuti, </w:t>
      </w:r>
      <w:r w:rsidR="00C06BAE" w:rsidRPr="00361047">
        <w:rPr>
          <w:i/>
          <w:sz w:val="18"/>
          <w:szCs w:val="18"/>
          <w:lang w:val="it-IT"/>
        </w:rPr>
        <w:t>La forma dell’acqua. Il diritto di asilo costituzionale tra attuazione, applicazione e attualità</w:t>
      </w:r>
      <w:r w:rsidR="00C06BAE" w:rsidRPr="00361047">
        <w:rPr>
          <w:sz w:val="18"/>
          <w:szCs w:val="18"/>
          <w:lang w:val="it-IT"/>
        </w:rPr>
        <w:t xml:space="preserve">, in </w:t>
      </w:r>
      <w:r w:rsidR="00C06BAE" w:rsidRPr="00361047">
        <w:rPr>
          <w:i/>
          <w:sz w:val="18"/>
          <w:szCs w:val="18"/>
          <w:lang w:val="it-IT"/>
        </w:rPr>
        <w:t>Questione giustizia</w:t>
      </w:r>
      <w:r w:rsidR="00C06BAE" w:rsidRPr="00361047">
        <w:rPr>
          <w:sz w:val="18"/>
          <w:szCs w:val="18"/>
          <w:lang w:val="it-IT"/>
        </w:rPr>
        <w:t xml:space="preserve">, 2018, 2, pp. 15-19.  </w:t>
      </w:r>
    </w:p>
  </w:footnote>
  <w:footnote w:id="34">
    <w:p w14:paraId="19B5B1E3" w14:textId="58E85237" w:rsidR="005958A1" w:rsidRPr="00361047" w:rsidRDefault="005958A1" w:rsidP="005958A1">
      <w:pPr>
        <w:pStyle w:val="Testonotaapidipagina"/>
        <w:jc w:val="both"/>
        <w:rPr>
          <w:sz w:val="18"/>
          <w:szCs w:val="18"/>
        </w:rPr>
      </w:pPr>
      <w:r w:rsidRPr="00361047">
        <w:rPr>
          <w:rStyle w:val="Rimandonotaapidipagina"/>
          <w:sz w:val="18"/>
          <w:szCs w:val="18"/>
        </w:rPr>
        <w:footnoteRef/>
      </w:r>
      <w:r w:rsidRPr="00361047">
        <w:rPr>
          <w:sz w:val="18"/>
          <w:szCs w:val="18"/>
        </w:rPr>
        <w:t xml:space="preserve">Report on the regulation proposal of the European Parliament and Council establishing a Union Resettlement Framework and amending Regulation (EU) No 516/2014 of the European Parliament and the Council, COM (2016/468, </w:t>
      </w:r>
      <w:r w:rsidR="00C06BAE" w:rsidRPr="00361047">
        <w:rPr>
          <w:sz w:val="18"/>
          <w:szCs w:val="18"/>
        </w:rPr>
        <w:t xml:space="preserve">23 </w:t>
      </w:r>
      <w:proofErr w:type="spellStart"/>
      <w:r w:rsidR="00C06BAE" w:rsidRPr="00361047">
        <w:rPr>
          <w:sz w:val="18"/>
          <w:szCs w:val="18"/>
        </w:rPr>
        <w:t>ottobre</w:t>
      </w:r>
      <w:proofErr w:type="spellEnd"/>
      <w:r w:rsidR="00C06BAE" w:rsidRPr="00361047">
        <w:rPr>
          <w:sz w:val="18"/>
          <w:szCs w:val="18"/>
        </w:rPr>
        <w:t xml:space="preserve"> </w:t>
      </w:r>
      <w:r w:rsidRPr="00361047">
        <w:rPr>
          <w:sz w:val="18"/>
          <w:szCs w:val="18"/>
        </w:rPr>
        <w:t xml:space="preserve">2017. </w:t>
      </w:r>
    </w:p>
  </w:footnote>
  <w:footnote w:id="35">
    <w:p w14:paraId="45508ED8" w14:textId="42313EFF" w:rsidR="00E6507C" w:rsidRPr="00E6507C" w:rsidRDefault="00E6507C" w:rsidP="00E6507C">
      <w:pPr>
        <w:pStyle w:val="Testonotaapidipagina"/>
        <w:jc w:val="both"/>
        <w:rPr>
          <w:lang w:val="it-IT"/>
        </w:rPr>
      </w:pPr>
      <w:r w:rsidRPr="00361047">
        <w:rPr>
          <w:rStyle w:val="Rimandonotaapidipagina"/>
          <w:sz w:val="18"/>
          <w:szCs w:val="18"/>
        </w:rPr>
        <w:footnoteRef/>
      </w:r>
      <w:r w:rsidRPr="00361047">
        <w:rPr>
          <w:sz w:val="18"/>
          <w:szCs w:val="18"/>
          <w:lang w:val="en-US"/>
        </w:rPr>
        <w:t xml:space="preserve"> </w:t>
      </w:r>
      <w:r w:rsidR="005C4835" w:rsidRPr="00361047">
        <w:rPr>
          <w:sz w:val="18"/>
          <w:szCs w:val="18"/>
          <w:lang w:val="en-US"/>
        </w:rPr>
        <w:t xml:space="preserve">European Commission Staff Working Paper, </w:t>
      </w:r>
      <w:r w:rsidR="005C4835" w:rsidRPr="00361047">
        <w:rPr>
          <w:i/>
          <w:iCs/>
          <w:sz w:val="18"/>
          <w:szCs w:val="18"/>
          <w:lang w:val="en-US"/>
        </w:rPr>
        <w:t>Operational Guidance on taking account of Fundamental Rights in Commission Impact Assessment</w:t>
      </w:r>
      <w:r w:rsidR="005C4835" w:rsidRPr="00361047">
        <w:rPr>
          <w:sz w:val="18"/>
          <w:szCs w:val="18"/>
          <w:lang w:val="en-US"/>
        </w:rPr>
        <w:t xml:space="preserve">, SEC(2011)567 of 6 May 2011; Interinstitutional Agreement between the European Parliament, the Council of the European Union and the European Commission on Better Law-Making of 13 </w:t>
      </w:r>
      <w:proofErr w:type="spellStart"/>
      <w:r w:rsidR="005C4835" w:rsidRPr="00361047">
        <w:rPr>
          <w:sz w:val="18"/>
          <w:szCs w:val="18"/>
          <w:lang w:val="en-US"/>
        </w:rPr>
        <w:t>Aprile</w:t>
      </w:r>
      <w:proofErr w:type="spellEnd"/>
      <w:r w:rsidR="005C4835" w:rsidRPr="00361047">
        <w:rPr>
          <w:sz w:val="18"/>
          <w:szCs w:val="18"/>
          <w:lang w:val="en-US"/>
        </w:rPr>
        <w:t xml:space="preserve"> 2016, GUUE L 123 del 12 </w:t>
      </w:r>
      <w:proofErr w:type="spellStart"/>
      <w:r w:rsidR="005C4835" w:rsidRPr="00361047">
        <w:rPr>
          <w:sz w:val="18"/>
          <w:szCs w:val="18"/>
          <w:lang w:val="en-US"/>
        </w:rPr>
        <w:t>maggio</w:t>
      </w:r>
      <w:proofErr w:type="spellEnd"/>
      <w:r w:rsidR="005C4835" w:rsidRPr="00361047">
        <w:rPr>
          <w:sz w:val="18"/>
          <w:szCs w:val="18"/>
          <w:lang w:val="en-US"/>
        </w:rPr>
        <w:t xml:space="preserve"> 2016, punto 12. </w:t>
      </w:r>
      <w:r w:rsidRPr="00361047">
        <w:rPr>
          <w:sz w:val="18"/>
          <w:szCs w:val="18"/>
          <w:lang w:val="it-IT"/>
        </w:rPr>
        <w:t xml:space="preserve">N. Lazzerini, </w:t>
      </w:r>
      <w:r w:rsidRPr="00361047">
        <w:rPr>
          <w:i/>
          <w:iCs/>
          <w:sz w:val="18"/>
          <w:szCs w:val="18"/>
          <w:lang w:val="it-IT"/>
        </w:rPr>
        <w:t>Le clausole generali della Carta dei diritti fondamentali nel law-</w:t>
      </w:r>
      <w:proofErr w:type="spellStart"/>
      <w:r w:rsidRPr="00361047">
        <w:rPr>
          <w:i/>
          <w:iCs/>
          <w:sz w:val="18"/>
          <w:szCs w:val="18"/>
          <w:lang w:val="it-IT"/>
        </w:rPr>
        <w:t>making</w:t>
      </w:r>
      <w:proofErr w:type="spellEnd"/>
      <w:r w:rsidRPr="00361047">
        <w:rPr>
          <w:i/>
          <w:iCs/>
          <w:sz w:val="18"/>
          <w:szCs w:val="18"/>
          <w:lang w:val="it-IT"/>
        </w:rPr>
        <w:t xml:space="preserve"> europeo: codificazione e Innovazione nella determinazione del livello di tutela</w:t>
      </w:r>
      <w:r w:rsidRPr="00361047">
        <w:rPr>
          <w:sz w:val="18"/>
          <w:szCs w:val="18"/>
          <w:lang w:val="it-IT"/>
        </w:rPr>
        <w:t>, in A. Annoni, S. Forlati, F. Salerno (</w:t>
      </w:r>
      <w:r w:rsidR="005C4835" w:rsidRPr="00361047">
        <w:rPr>
          <w:sz w:val="18"/>
          <w:szCs w:val="18"/>
          <w:lang w:val="it-IT"/>
        </w:rPr>
        <w:t>a cura di</w:t>
      </w:r>
      <w:r w:rsidRPr="00361047">
        <w:rPr>
          <w:sz w:val="18"/>
          <w:szCs w:val="18"/>
          <w:lang w:val="it-IT"/>
        </w:rPr>
        <w:t xml:space="preserve">) </w:t>
      </w:r>
      <w:r w:rsidRPr="00361047">
        <w:rPr>
          <w:i/>
          <w:iCs/>
          <w:sz w:val="18"/>
          <w:szCs w:val="18"/>
          <w:lang w:val="it-IT"/>
        </w:rPr>
        <w:t>La codificazione nell’ordinamento internazionale e dell’Unione europea</w:t>
      </w:r>
      <w:r w:rsidRPr="00361047">
        <w:rPr>
          <w:sz w:val="18"/>
          <w:szCs w:val="18"/>
          <w:lang w:val="it-IT"/>
        </w:rPr>
        <w:t>, Napoli: Editoriale scientifica 2019, 515-523</w:t>
      </w:r>
      <w:r w:rsidR="005C4835" w:rsidRPr="00361047">
        <w:rPr>
          <w:sz w:val="18"/>
          <w:szCs w:val="18"/>
          <w:lang w:val="it-IT"/>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A3BB0"/>
    <w:multiLevelType w:val="hybridMultilevel"/>
    <w:tmpl w:val="FB360E8C"/>
    <w:lvl w:ilvl="0" w:tplc="0410000F">
      <w:start w:val="2"/>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7A203EA"/>
    <w:multiLevelType w:val="multilevel"/>
    <w:tmpl w:val="7144AF2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B21227C"/>
    <w:multiLevelType w:val="hybridMultilevel"/>
    <w:tmpl w:val="8AD48B9E"/>
    <w:lvl w:ilvl="0" w:tplc="04100001">
      <w:start w:val="1"/>
      <w:numFmt w:val="bullet"/>
      <w:lvlText w:val=""/>
      <w:lvlJc w:val="left"/>
      <w:pPr>
        <w:ind w:left="720" w:hanging="360"/>
      </w:pPr>
      <w:rPr>
        <w:rFonts w:ascii="Symbol" w:eastAsia="Times New Roman"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E235EAB"/>
    <w:multiLevelType w:val="hybridMultilevel"/>
    <w:tmpl w:val="1A9AEE2C"/>
    <w:lvl w:ilvl="0" w:tplc="04100019">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4" w15:restartNumberingAfterBreak="0">
    <w:nsid w:val="36EF21A2"/>
    <w:multiLevelType w:val="hybridMultilevel"/>
    <w:tmpl w:val="6534F8E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50482A9A"/>
    <w:multiLevelType w:val="hybridMultilevel"/>
    <w:tmpl w:val="D4D2232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52414221"/>
    <w:multiLevelType w:val="hybridMultilevel"/>
    <w:tmpl w:val="6ABAD214"/>
    <w:lvl w:ilvl="0" w:tplc="C9D0C840">
      <w:start w:val="1"/>
      <w:numFmt w:val="bullet"/>
      <w:lvlText w:val="•"/>
      <w:lvlJc w:val="left"/>
      <w:pPr>
        <w:tabs>
          <w:tab w:val="num" w:pos="720"/>
        </w:tabs>
        <w:ind w:left="720" w:hanging="360"/>
      </w:pPr>
      <w:rPr>
        <w:rFonts w:ascii="Arial" w:hAnsi="Arial" w:hint="default"/>
      </w:rPr>
    </w:lvl>
    <w:lvl w:ilvl="1" w:tplc="E160C164">
      <w:start w:val="26395"/>
      <w:numFmt w:val="bullet"/>
      <w:lvlText w:val="•"/>
      <w:lvlJc w:val="left"/>
      <w:pPr>
        <w:tabs>
          <w:tab w:val="num" w:pos="1440"/>
        </w:tabs>
        <w:ind w:left="1440" w:hanging="360"/>
      </w:pPr>
      <w:rPr>
        <w:rFonts w:ascii="Arial" w:hAnsi="Arial" w:hint="default"/>
      </w:rPr>
    </w:lvl>
    <w:lvl w:ilvl="2" w:tplc="CAE09CA4">
      <w:start w:val="26395"/>
      <w:numFmt w:val="bullet"/>
      <w:lvlText w:val="•"/>
      <w:lvlJc w:val="left"/>
      <w:pPr>
        <w:tabs>
          <w:tab w:val="num" w:pos="2160"/>
        </w:tabs>
        <w:ind w:left="2160" w:hanging="360"/>
      </w:pPr>
      <w:rPr>
        <w:rFonts w:ascii="Arial" w:hAnsi="Arial" w:hint="default"/>
      </w:rPr>
    </w:lvl>
    <w:lvl w:ilvl="3" w:tplc="C7C6794A" w:tentative="1">
      <w:start w:val="1"/>
      <w:numFmt w:val="bullet"/>
      <w:lvlText w:val="•"/>
      <w:lvlJc w:val="left"/>
      <w:pPr>
        <w:tabs>
          <w:tab w:val="num" w:pos="2880"/>
        </w:tabs>
        <w:ind w:left="2880" w:hanging="360"/>
      </w:pPr>
      <w:rPr>
        <w:rFonts w:ascii="Arial" w:hAnsi="Arial" w:hint="default"/>
      </w:rPr>
    </w:lvl>
    <w:lvl w:ilvl="4" w:tplc="AC805F4A" w:tentative="1">
      <w:start w:val="1"/>
      <w:numFmt w:val="bullet"/>
      <w:lvlText w:val="•"/>
      <w:lvlJc w:val="left"/>
      <w:pPr>
        <w:tabs>
          <w:tab w:val="num" w:pos="3600"/>
        </w:tabs>
        <w:ind w:left="3600" w:hanging="360"/>
      </w:pPr>
      <w:rPr>
        <w:rFonts w:ascii="Arial" w:hAnsi="Arial" w:hint="default"/>
      </w:rPr>
    </w:lvl>
    <w:lvl w:ilvl="5" w:tplc="F99ED044" w:tentative="1">
      <w:start w:val="1"/>
      <w:numFmt w:val="bullet"/>
      <w:lvlText w:val="•"/>
      <w:lvlJc w:val="left"/>
      <w:pPr>
        <w:tabs>
          <w:tab w:val="num" w:pos="4320"/>
        </w:tabs>
        <w:ind w:left="4320" w:hanging="360"/>
      </w:pPr>
      <w:rPr>
        <w:rFonts w:ascii="Arial" w:hAnsi="Arial" w:hint="default"/>
      </w:rPr>
    </w:lvl>
    <w:lvl w:ilvl="6" w:tplc="373697CA" w:tentative="1">
      <w:start w:val="1"/>
      <w:numFmt w:val="bullet"/>
      <w:lvlText w:val="•"/>
      <w:lvlJc w:val="left"/>
      <w:pPr>
        <w:tabs>
          <w:tab w:val="num" w:pos="5040"/>
        </w:tabs>
        <w:ind w:left="5040" w:hanging="360"/>
      </w:pPr>
      <w:rPr>
        <w:rFonts w:ascii="Arial" w:hAnsi="Arial" w:hint="default"/>
      </w:rPr>
    </w:lvl>
    <w:lvl w:ilvl="7" w:tplc="B4BE51F0" w:tentative="1">
      <w:start w:val="1"/>
      <w:numFmt w:val="bullet"/>
      <w:lvlText w:val="•"/>
      <w:lvlJc w:val="left"/>
      <w:pPr>
        <w:tabs>
          <w:tab w:val="num" w:pos="5760"/>
        </w:tabs>
        <w:ind w:left="5760" w:hanging="360"/>
      </w:pPr>
      <w:rPr>
        <w:rFonts w:ascii="Arial" w:hAnsi="Arial" w:hint="default"/>
      </w:rPr>
    </w:lvl>
    <w:lvl w:ilvl="8" w:tplc="FF4466EE"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52F677A2"/>
    <w:multiLevelType w:val="hybridMultilevel"/>
    <w:tmpl w:val="1570D52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A6942E6"/>
    <w:multiLevelType w:val="hybridMultilevel"/>
    <w:tmpl w:val="3A9E2F86"/>
    <w:lvl w:ilvl="0" w:tplc="04100001">
      <w:start w:val="1"/>
      <w:numFmt w:val="bullet"/>
      <w:lvlText w:val=""/>
      <w:lvlJc w:val="left"/>
      <w:pPr>
        <w:ind w:left="720" w:hanging="360"/>
      </w:pPr>
      <w:rPr>
        <w:rFonts w:ascii="Symbol" w:eastAsia="Times New Roman"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6C0A17BA"/>
    <w:multiLevelType w:val="hybridMultilevel"/>
    <w:tmpl w:val="C1A8DCF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7"/>
  </w:num>
  <w:num w:numId="2">
    <w:abstractNumId w:val="9"/>
  </w:num>
  <w:num w:numId="3">
    <w:abstractNumId w:val="5"/>
  </w:num>
  <w:num w:numId="4">
    <w:abstractNumId w:val="1"/>
  </w:num>
  <w:num w:numId="5">
    <w:abstractNumId w:val="6"/>
  </w:num>
  <w:num w:numId="6">
    <w:abstractNumId w:val="0"/>
  </w:num>
  <w:num w:numId="7">
    <w:abstractNumId w:val="3"/>
  </w:num>
  <w:num w:numId="8">
    <w:abstractNumId w:val="4"/>
  </w:num>
  <w:num w:numId="9">
    <w:abstractNumId w:val="8"/>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8"/>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0754"/>
    <w:rsid w:val="00001816"/>
    <w:rsid w:val="00003FAB"/>
    <w:rsid w:val="00005A34"/>
    <w:rsid w:val="000060EC"/>
    <w:rsid w:val="000115DF"/>
    <w:rsid w:val="000121CC"/>
    <w:rsid w:val="00012FA2"/>
    <w:rsid w:val="00014C63"/>
    <w:rsid w:val="00015C69"/>
    <w:rsid w:val="00016615"/>
    <w:rsid w:val="00020933"/>
    <w:rsid w:val="000227C9"/>
    <w:rsid w:val="00022AFE"/>
    <w:rsid w:val="0002415D"/>
    <w:rsid w:val="0002491E"/>
    <w:rsid w:val="00030A05"/>
    <w:rsid w:val="00033AFA"/>
    <w:rsid w:val="00040EEC"/>
    <w:rsid w:val="00041068"/>
    <w:rsid w:val="000433D3"/>
    <w:rsid w:val="00051AD6"/>
    <w:rsid w:val="00053B47"/>
    <w:rsid w:val="000609F3"/>
    <w:rsid w:val="00064EF7"/>
    <w:rsid w:val="00067018"/>
    <w:rsid w:val="00070F0E"/>
    <w:rsid w:val="00071935"/>
    <w:rsid w:val="00071FFF"/>
    <w:rsid w:val="000725BB"/>
    <w:rsid w:val="0007308F"/>
    <w:rsid w:val="00080884"/>
    <w:rsid w:val="000809E4"/>
    <w:rsid w:val="00080ED0"/>
    <w:rsid w:val="00083486"/>
    <w:rsid w:val="00084067"/>
    <w:rsid w:val="00087C6D"/>
    <w:rsid w:val="00090139"/>
    <w:rsid w:val="0009055A"/>
    <w:rsid w:val="00091798"/>
    <w:rsid w:val="00092EF9"/>
    <w:rsid w:val="00094D85"/>
    <w:rsid w:val="000951AD"/>
    <w:rsid w:val="00095AE7"/>
    <w:rsid w:val="0009637C"/>
    <w:rsid w:val="00097186"/>
    <w:rsid w:val="00097850"/>
    <w:rsid w:val="000A0069"/>
    <w:rsid w:val="000A0D9C"/>
    <w:rsid w:val="000A1980"/>
    <w:rsid w:val="000A49D0"/>
    <w:rsid w:val="000B16B7"/>
    <w:rsid w:val="000B728D"/>
    <w:rsid w:val="000C081F"/>
    <w:rsid w:val="000C1BC0"/>
    <w:rsid w:val="000C25E2"/>
    <w:rsid w:val="000C2CD5"/>
    <w:rsid w:val="000C369D"/>
    <w:rsid w:val="000D18EB"/>
    <w:rsid w:val="000D50B2"/>
    <w:rsid w:val="000D6B45"/>
    <w:rsid w:val="000E52BE"/>
    <w:rsid w:val="000E714F"/>
    <w:rsid w:val="000E7C33"/>
    <w:rsid w:val="000F2387"/>
    <w:rsid w:val="000F7131"/>
    <w:rsid w:val="001001DC"/>
    <w:rsid w:val="001026BF"/>
    <w:rsid w:val="001028C7"/>
    <w:rsid w:val="00102DA5"/>
    <w:rsid w:val="00103665"/>
    <w:rsid w:val="001038DD"/>
    <w:rsid w:val="00112EA3"/>
    <w:rsid w:val="00113AC4"/>
    <w:rsid w:val="00114015"/>
    <w:rsid w:val="001146A0"/>
    <w:rsid w:val="00114DFC"/>
    <w:rsid w:val="00114F73"/>
    <w:rsid w:val="0011751D"/>
    <w:rsid w:val="00117542"/>
    <w:rsid w:val="00117D25"/>
    <w:rsid w:val="00120B95"/>
    <w:rsid w:val="001235DC"/>
    <w:rsid w:val="00127765"/>
    <w:rsid w:val="001307A1"/>
    <w:rsid w:val="001335AD"/>
    <w:rsid w:val="00133819"/>
    <w:rsid w:val="00133BDB"/>
    <w:rsid w:val="00133EAC"/>
    <w:rsid w:val="001347CB"/>
    <w:rsid w:val="001356F9"/>
    <w:rsid w:val="0013617C"/>
    <w:rsid w:val="00136632"/>
    <w:rsid w:val="00136B90"/>
    <w:rsid w:val="00137405"/>
    <w:rsid w:val="0014556D"/>
    <w:rsid w:val="001471C5"/>
    <w:rsid w:val="00147ED8"/>
    <w:rsid w:val="001527D6"/>
    <w:rsid w:val="00154779"/>
    <w:rsid w:val="0016158B"/>
    <w:rsid w:val="00165FEA"/>
    <w:rsid w:val="00172894"/>
    <w:rsid w:val="00173380"/>
    <w:rsid w:val="00175561"/>
    <w:rsid w:val="00176E11"/>
    <w:rsid w:val="00182F1B"/>
    <w:rsid w:val="0019022C"/>
    <w:rsid w:val="0019127E"/>
    <w:rsid w:val="00193AD4"/>
    <w:rsid w:val="001A1469"/>
    <w:rsid w:val="001A28F7"/>
    <w:rsid w:val="001A5491"/>
    <w:rsid w:val="001B206F"/>
    <w:rsid w:val="001B33C9"/>
    <w:rsid w:val="001B5118"/>
    <w:rsid w:val="001C5066"/>
    <w:rsid w:val="001C5F77"/>
    <w:rsid w:val="001D37AB"/>
    <w:rsid w:val="001D43D6"/>
    <w:rsid w:val="001E7781"/>
    <w:rsid w:val="001E782F"/>
    <w:rsid w:val="001F267A"/>
    <w:rsid w:val="001F2B8A"/>
    <w:rsid w:val="001F39D3"/>
    <w:rsid w:val="001F4419"/>
    <w:rsid w:val="001F631F"/>
    <w:rsid w:val="001F6AC7"/>
    <w:rsid w:val="001F6B4B"/>
    <w:rsid w:val="001F6F4C"/>
    <w:rsid w:val="00200824"/>
    <w:rsid w:val="002019A1"/>
    <w:rsid w:val="00201DAA"/>
    <w:rsid w:val="00203CDD"/>
    <w:rsid w:val="002044BB"/>
    <w:rsid w:val="002066EC"/>
    <w:rsid w:val="00207D6F"/>
    <w:rsid w:val="00210BF2"/>
    <w:rsid w:val="002115E2"/>
    <w:rsid w:val="002126CF"/>
    <w:rsid w:val="00213F3A"/>
    <w:rsid w:val="00215273"/>
    <w:rsid w:val="0021611A"/>
    <w:rsid w:val="00216AE0"/>
    <w:rsid w:val="00226981"/>
    <w:rsid w:val="002269DC"/>
    <w:rsid w:val="0022757C"/>
    <w:rsid w:val="00231988"/>
    <w:rsid w:val="00232489"/>
    <w:rsid w:val="0023543A"/>
    <w:rsid w:val="00236768"/>
    <w:rsid w:val="00236B39"/>
    <w:rsid w:val="002448C7"/>
    <w:rsid w:val="00244A76"/>
    <w:rsid w:val="00245B1F"/>
    <w:rsid w:val="00245F39"/>
    <w:rsid w:val="002547EA"/>
    <w:rsid w:val="00255BB8"/>
    <w:rsid w:val="002707E9"/>
    <w:rsid w:val="00275121"/>
    <w:rsid w:val="00275BD7"/>
    <w:rsid w:val="00277D58"/>
    <w:rsid w:val="0028173C"/>
    <w:rsid w:val="002831BA"/>
    <w:rsid w:val="00285FA6"/>
    <w:rsid w:val="0029102D"/>
    <w:rsid w:val="0029218F"/>
    <w:rsid w:val="002963C1"/>
    <w:rsid w:val="00297B93"/>
    <w:rsid w:val="002A47EF"/>
    <w:rsid w:val="002B37D3"/>
    <w:rsid w:val="002B4821"/>
    <w:rsid w:val="002B5275"/>
    <w:rsid w:val="002C06FD"/>
    <w:rsid w:val="002C19C7"/>
    <w:rsid w:val="002C244E"/>
    <w:rsid w:val="002C5F1E"/>
    <w:rsid w:val="002C7DA9"/>
    <w:rsid w:val="002D1119"/>
    <w:rsid w:val="002D4791"/>
    <w:rsid w:val="002D571F"/>
    <w:rsid w:val="002D6524"/>
    <w:rsid w:val="002D673C"/>
    <w:rsid w:val="002E0C78"/>
    <w:rsid w:val="002E3A4F"/>
    <w:rsid w:val="002F01DF"/>
    <w:rsid w:val="002F5E1E"/>
    <w:rsid w:val="002F6DB9"/>
    <w:rsid w:val="002F7F78"/>
    <w:rsid w:val="00304336"/>
    <w:rsid w:val="00304C9C"/>
    <w:rsid w:val="00307BE0"/>
    <w:rsid w:val="00313AD8"/>
    <w:rsid w:val="00315432"/>
    <w:rsid w:val="003202EA"/>
    <w:rsid w:val="0032039D"/>
    <w:rsid w:val="00322E52"/>
    <w:rsid w:val="003248A5"/>
    <w:rsid w:val="00327DE7"/>
    <w:rsid w:val="00333D55"/>
    <w:rsid w:val="00337738"/>
    <w:rsid w:val="00340CEB"/>
    <w:rsid w:val="00345A57"/>
    <w:rsid w:val="00345EE6"/>
    <w:rsid w:val="00347907"/>
    <w:rsid w:val="00355844"/>
    <w:rsid w:val="003574EF"/>
    <w:rsid w:val="00360F61"/>
    <w:rsid w:val="00361047"/>
    <w:rsid w:val="003627ED"/>
    <w:rsid w:val="00364495"/>
    <w:rsid w:val="00366027"/>
    <w:rsid w:val="00366F02"/>
    <w:rsid w:val="0037192F"/>
    <w:rsid w:val="003737BE"/>
    <w:rsid w:val="003742F1"/>
    <w:rsid w:val="003769A1"/>
    <w:rsid w:val="0038099F"/>
    <w:rsid w:val="00384183"/>
    <w:rsid w:val="00386074"/>
    <w:rsid w:val="0039137A"/>
    <w:rsid w:val="00391B32"/>
    <w:rsid w:val="00393E56"/>
    <w:rsid w:val="0039455E"/>
    <w:rsid w:val="0039619B"/>
    <w:rsid w:val="003969D3"/>
    <w:rsid w:val="00397100"/>
    <w:rsid w:val="0039732F"/>
    <w:rsid w:val="003A0716"/>
    <w:rsid w:val="003A1020"/>
    <w:rsid w:val="003A4338"/>
    <w:rsid w:val="003A5E53"/>
    <w:rsid w:val="003A6257"/>
    <w:rsid w:val="003B0676"/>
    <w:rsid w:val="003B299E"/>
    <w:rsid w:val="003B4C0C"/>
    <w:rsid w:val="003B6CB6"/>
    <w:rsid w:val="003C352D"/>
    <w:rsid w:val="003C42F1"/>
    <w:rsid w:val="003C474F"/>
    <w:rsid w:val="003C5B26"/>
    <w:rsid w:val="003C6D5B"/>
    <w:rsid w:val="003D09AB"/>
    <w:rsid w:val="003D0DF9"/>
    <w:rsid w:val="003D299A"/>
    <w:rsid w:val="003D2D73"/>
    <w:rsid w:val="003D303E"/>
    <w:rsid w:val="003D63A5"/>
    <w:rsid w:val="003D71A4"/>
    <w:rsid w:val="003D72ED"/>
    <w:rsid w:val="003D73B3"/>
    <w:rsid w:val="003D7DC4"/>
    <w:rsid w:val="003E0A9C"/>
    <w:rsid w:val="003E165B"/>
    <w:rsid w:val="003E1B0C"/>
    <w:rsid w:val="003E30BA"/>
    <w:rsid w:val="003E3E0E"/>
    <w:rsid w:val="003E781C"/>
    <w:rsid w:val="003F195E"/>
    <w:rsid w:val="003F2214"/>
    <w:rsid w:val="003F23D3"/>
    <w:rsid w:val="003F2C5E"/>
    <w:rsid w:val="003F40A5"/>
    <w:rsid w:val="00406CC0"/>
    <w:rsid w:val="0041153F"/>
    <w:rsid w:val="00414074"/>
    <w:rsid w:val="00416B9D"/>
    <w:rsid w:val="00420D9E"/>
    <w:rsid w:val="00424D89"/>
    <w:rsid w:val="00427D15"/>
    <w:rsid w:val="004301C7"/>
    <w:rsid w:val="004306F4"/>
    <w:rsid w:val="004311DF"/>
    <w:rsid w:val="00431C3F"/>
    <w:rsid w:val="004329D7"/>
    <w:rsid w:val="00433834"/>
    <w:rsid w:val="00433B5C"/>
    <w:rsid w:val="004379E9"/>
    <w:rsid w:val="00446057"/>
    <w:rsid w:val="0044744E"/>
    <w:rsid w:val="0045546A"/>
    <w:rsid w:val="004578D2"/>
    <w:rsid w:val="00457933"/>
    <w:rsid w:val="004612EE"/>
    <w:rsid w:val="0046326A"/>
    <w:rsid w:val="00465E72"/>
    <w:rsid w:val="004663EA"/>
    <w:rsid w:val="00467271"/>
    <w:rsid w:val="004716EB"/>
    <w:rsid w:val="004717B6"/>
    <w:rsid w:val="00477B86"/>
    <w:rsid w:val="00480E77"/>
    <w:rsid w:val="00481A9E"/>
    <w:rsid w:val="00482395"/>
    <w:rsid w:val="004842E6"/>
    <w:rsid w:val="00485685"/>
    <w:rsid w:val="00485E6D"/>
    <w:rsid w:val="00486547"/>
    <w:rsid w:val="004877EE"/>
    <w:rsid w:val="00492A00"/>
    <w:rsid w:val="004935E2"/>
    <w:rsid w:val="0049408E"/>
    <w:rsid w:val="004954A4"/>
    <w:rsid w:val="004967B1"/>
    <w:rsid w:val="004A713F"/>
    <w:rsid w:val="004B2A8D"/>
    <w:rsid w:val="004B30B1"/>
    <w:rsid w:val="004B5E7D"/>
    <w:rsid w:val="004B750D"/>
    <w:rsid w:val="004C3CF9"/>
    <w:rsid w:val="004C64A3"/>
    <w:rsid w:val="004D0A8C"/>
    <w:rsid w:val="004E0472"/>
    <w:rsid w:val="004E1274"/>
    <w:rsid w:val="004E4932"/>
    <w:rsid w:val="004E4FA1"/>
    <w:rsid w:val="004F002C"/>
    <w:rsid w:val="004F0754"/>
    <w:rsid w:val="004F15C1"/>
    <w:rsid w:val="004F58B9"/>
    <w:rsid w:val="005038E6"/>
    <w:rsid w:val="00511BC7"/>
    <w:rsid w:val="005207CB"/>
    <w:rsid w:val="005219CF"/>
    <w:rsid w:val="0052402E"/>
    <w:rsid w:val="005245C8"/>
    <w:rsid w:val="00526310"/>
    <w:rsid w:val="0052684D"/>
    <w:rsid w:val="00526E1A"/>
    <w:rsid w:val="005272DB"/>
    <w:rsid w:val="00530680"/>
    <w:rsid w:val="00534ACF"/>
    <w:rsid w:val="005361C4"/>
    <w:rsid w:val="00536244"/>
    <w:rsid w:val="00542663"/>
    <w:rsid w:val="00542B18"/>
    <w:rsid w:val="0054565E"/>
    <w:rsid w:val="00547A7C"/>
    <w:rsid w:val="00547BD7"/>
    <w:rsid w:val="0055178C"/>
    <w:rsid w:val="005530FB"/>
    <w:rsid w:val="0055439E"/>
    <w:rsid w:val="005562B9"/>
    <w:rsid w:val="00566D9A"/>
    <w:rsid w:val="00570683"/>
    <w:rsid w:val="00570E11"/>
    <w:rsid w:val="00575840"/>
    <w:rsid w:val="00581D8F"/>
    <w:rsid w:val="00582E32"/>
    <w:rsid w:val="0059020C"/>
    <w:rsid w:val="00590240"/>
    <w:rsid w:val="00590752"/>
    <w:rsid w:val="00591E32"/>
    <w:rsid w:val="00592B92"/>
    <w:rsid w:val="005958A1"/>
    <w:rsid w:val="0059602A"/>
    <w:rsid w:val="0059745A"/>
    <w:rsid w:val="005B67E0"/>
    <w:rsid w:val="005B686D"/>
    <w:rsid w:val="005B7168"/>
    <w:rsid w:val="005C0992"/>
    <w:rsid w:val="005C14A9"/>
    <w:rsid w:val="005C2543"/>
    <w:rsid w:val="005C4835"/>
    <w:rsid w:val="005C4DC1"/>
    <w:rsid w:val="005C5B30"/>
    <w:rsid w:val="005D3012"/>
    <w:rsid w:val="005D6F01"/>
    <w:rsid w:val="005E1AD8"/>
    <w:rsid w:val="005E2C97"/>
    <w:rsid w:val="005E31EA"/>
    <w:rsid w:val="005E3C82"/>
    <w:rsid w:val="005F1AAD"/>
    <w:rsid w:val="005F1B93"/>
    <w:rsid w:val="005F6207"/>
    <w:rsid w:val="00600FDE"/>
    <w:rsid w:val="006054E8"/>
    <w:rsid w:val="00607C24"/>
    <w:rsid w:val="0061076B"/>
    <w:rsid w:val="006132D2"/>
    <w:rsid w:val="00615B95"/>
    <w:rsid w:val="006163D0"/>
    <w:rsid w:val="0061683E"/>
    <w:rsid w:val="00617C55"/>
    <w:rsid w:val="00620012"/>
    <w:rsid w:val="00621D8B"/>
    <w:rsid w:val="00622F5E"/>
    <w:rsid w:val="006263C1"/>
    <w:rsid w:val="006307AE"/>
    <w:rsid w:val="006309FF"/>
    <w:rsid w:val="006315DD"/>
    <w:rsid w:val="00631750"/>
    <w:rsid w:val="00631CCB"/>
    <w:rsid w:val="006334F7"/>
    <w:rsid w:val="0064499E"/>
    <w:rsid w:val="00647A4F"/>
    <w:rsid w:val="0065082D"/>
    <w:rsid w:val="00653D03"/>
    <w:rsid w:val="00654F97"/>
    <w:rsid w:val="006555EA"/>
    <w:rsid w:val="00656F96"/>
    <w:rsid w:val="00662288"/>
    <w:rsid w:val="0066576E"/>
    <w:rsid w:val="006677E1"/>
    <w:rsid w:val="006733BB"/>
    <w:rsid w:val="006769F9"/>
    <w:rsid w:val="006770C5"/>
    <w:rsid w:val="00681524"/>
    <w:rsid w:val="00682E4E"/>
    <w:rsid w:val="00685033"/>
    <w:rsid w:val="00692F4B"/>
    <w:rsid w:val="00693080"/>
    <w:rsid w:val="00693345"/>
    <w:rsid w:val="00694025"/>
    <w:rsid w:val="006976DE"/>
    <w:rsid w:val="006A3F73"/>
    <w:rsid w:val="006A61DA"/>
    <w:rsid w:val="006A70FA"/>
    <w:rsid w:val="006B6767"/>
    <w:rsid w:val="006B77D8"/>
    <w:rsid w:val="006B7A32"/>
    <w:rsid w:val="006C1185"/>
    <w:rsid w:val="006C174B"/>
    <w:rsid w:val="006C4C57"/>
    <w:rsid w:val="006C5A6C"/>
    <w:rsid w:val="006C5DB7"/>
    <w:rsid w:val="006C61AE"/>
    <w:rsid w:val="006D00FE"/>
    <w:rsid w:val="006D0D49"/>
    <w:rsid w:val="006D5FEA"/>
    <w:rsid w:val="006D7FA5"/>
    <w:rsid w:val="006E2197"/>
    <w:rsid w:val="006E283D"/>
    <w:rsid w:val="006E3504"/>
    <w:rsid w:val="006E3C82"/>
    <w:rsid w:val="006E759C"/>
    <w:rsid w:val="006E7625"/>
    <w:rsid w:val="006F122A"/>
    <w:rsid w:val="006F22B7"/>
    <w:rsid w:val="006F3BAB"/>
    <w:rsid w:val="00700201"/>
    <w:rsid w:val="00702267"/>
    <w:rsid w:val="007029F8"/>
    <w:rsid w:val="00710B01"/>
    <w:rsid w:val="0071136F"/>
    <w:rsid w:val="007136B5"/>
    <w:rsid w:val="00714C63"/>
    <w:rsid w:val="00720999"/>
    <w:rsid w:val="00720BB4"/>
    <w:rsid w:val="007340DC"/>
    <w:rsid w:val="00734EB8"/>
    <w:rsid w:val="00740623"/>
    <w:rsid w:val="00741437"/>
    <w:rsid w:val="00747F1B"/>
    <w:rsid w:val="007542E1"/>
    <w:rsid w:val="0075482F"/>
    <w:rsid w:val="00763AF9"/>
    <w:rsid w:val="00763CF0"/>
    <w:rsid w:val="007640B5"/>
    <w:rsid w:val="007642E8"/>
    <w:rsid w:val="00770718"/>
    <w:rsid w:val="00770B33"/>
    <w:rsid w:val="00771A83"/>
    <w:rsid w:val="00773292"/>
    <w:rsid w:val="00775C20"/>
    <w:rsid w:val="007777F8"/>
    <w:rsid w:val="007811F4"/>
    <w:rsid w:val="00781B02"/>
    <w:rsid w:val="007825C8"/>
    <w:rsid w:val="007839A4"/>
    <w:rsid w:val="007846E0"/>
    <w:rsid w:val="00785D9A"/>
    <w:rsid w:val="007872FE"/>
    <w:rsid w:val="00794D39"/>
    <w:rsid w:val="007A03D9"/>
    <w:rsid w:val="007A2FD8"/>
    <w:rsid w:val="007B14A3"/>
    <w:rsid w:val="007B25E0"/>
    <w:rsid w:val="007B6749"/>
    <w:rsid w:val="007B7554"/>
    <w:rsid w:val="007C035C"/>
    <w:rsid w:val="007C22CF"/>
    <w:rsid w:val="007D2CC3"/>
    <w:rsid w:val="007D3C46"/>
    <w:rsid w:val="007D4FF3"/>
    <w:rsid w:val="007D557E"/>
    <w:rsid w:val="007D5EE7"/>
    <w:rsid w:val="007D6A09"/>
    <w:rsid w:val="007E2AFF"/>
    <w:rsid w:val="007E3505"/>
    <w:rsid w:val="007E3959"/>
    <w:rsid w:val="007E3D4A"/>
    <w:rsid w:val="007E7AA6"/>
    <w:rsid w:val="007F1544"/>
    <w:rsid w:val="007F2469"/>
    <w:rsid w:val="007F24EA"/>
    <w:rsid w:val="007F25E4"/>
    <w:rsid w:val="007F7192"/>
    <w:rsid w:val="008013B4"/>
    <w:rsid w:val="00801A10"/>
    <w:rsid w:val="0080331B"/>
    <w:rsid w:val="00806A80"/>
    <w:rsid w:val="00806AD2"/>
    <w:rsid w:val="00811755"/>
    <w:rsid w:val="008156B8"/>
    <w:rsid w:val="008164A6"/>
    <w:rsid w:val="00816C83"/>
    <w:rsid w:val="00816EA5"/>
    <w:rsid w:val="0082221F"/>
    <w:rsid w:val="00826DC4"/>
    <w:rsid w:val="00830B34"/>
    <w:rsid w:val="0083265C"/>
    <w:rsid w:val="00833054"/>
    <w:rsid w:val="00835812"/>
    <w:rsid w:val="00835E66"/>
    <w:rsid w:val="00843E6A"/>
    <w:rsid w:val="00845990"/>
    <w:rsid w:val="00851F8C"/>
    <w:rsid w:val="008545E4"/>
    <w:rsid w:val="00854700"/>
    <w:rsid w:val="008565AC"/>
    <w:rsid w:val="00857F41"/>
    <w:rsid w:val="00860814"/>
    <w:rsid w:val="008640CA"/>
    <w:rsid w:val="00865D09"/>
    <w:rsid w:val="008660D6"/>
    <w:rsid w:val="00870515"/>
    <w:rsid w:val="00872248"/>
    <w:rsid w:val="008740D8"/>
    <w:rsid w:val="0087541E"/>
    <w:rsid w:val="0087718B"/>
    <w:rsid w:val="0087720B"/>
    <w:rsid w:val="00880179"/>
    <w:rsid w:val="00884431"/>
    <w:rsid w:val="00885D27"/>
    <w:rsid w:val="00886722"/>
    <w:rsid w:val="00892F2A"/>
    <w:rsid w:val="00895207"/>
    <w:rsid w:val="00895745"/>
    <w:rsid w:val="008A06F4"/>
    <w:rsid w:val="008A1178"/>
    <w:rsid w:val="008A191A"/>
    <w:rsid w:val="008A1FEE"/>
    <w:rsid w:val="008A5A8D"/>
    <w:rsid w:val="008A5D46"/>
    <w:rsid w:val="008B1566"/>
    <w:rsid w:val="008B2041"/>
    <w:rsid w:val="008B385A"/>
    <w:rsid w:val="008C19F5"/>
    <w:rsid w:val="008C4753"/>
    <w:rsid w:val="008C4859"/>
    <w:rsid w:val="008C5307"/>
    <w:rsid w:val="008C77DD"/>
    <w:rsid w:val="008D4085"/>
    <w:rsid w:val="008D4B9E"/>
    <w:rsid w:val="008D64E2"/>
    <w:rsid w:val="008D7F13"/>
    <w:rsid w:val="008E0458"/>
    <w:rsid w:val="008E33F5"/>
    <w:rsid w:val="008F265A"/>
    <w:rsid w:val="008F2B55"/>
    <w:rsid w:val="008F343C"/>
    <w:rsid w:val="008F3966"/>
    <w:rsid w:val="008F4982"/>
    <w:rsid w:val="008F5BD8"/>
    <w:rsid w:val="008F632B"/>
    <w:rsid w:val="008F6333"/>
    <w:rsid w:val="008F76BF"/>
    <w:rsid w:val="00901270"/>
    <w:rsid w:val="009076C5"/>
    <w:rsid w:val="00912F5B"/>
    <w:rsid w:val="009138EF"/>
    <w:rsid w:val="00916150"/>
    <w:rsid w:val="00925AF4"/>
    <w:rsid w:val="00925C21"/>
    <w:rsid w:val="00925D3A"/>
    <w:rsid w:val="00926158"/>
    <w:rsid w:val="00932C7E"/>
    <w:rsid w:val="00932EBE"/>
    <w:rsid w:val="00933596"/>
    <w:rsid w:val="0093606B"/>
    <w:rsid w:val="0094061C"/>
    <w:rsid w:val="009418C6"/>
    <w:rsid w:val="00941F0C"/>
    <w:rsid w:val="00943229"/>
    <w:rsid w:val="00943E3E"/>
    <w:rsid w:val="00944D3E"/>
    <w:rsid w:val="00944DDE"/>
    <w:rsid w:val="0094617A"/>
    <w:rsid w:val="00946BE2"/>
    <w:rsid w:val="00946F68"/>
    <w:rsid w:val="00947860"/>
    <w:rsid w:val="00951818"/>
    <w:rsid w:val="00955FAE"/>
    <w:rsid w:val="009561CE"/>
    <w:rsid w:val="00960DFF"/>
    <w:rsid w:val="00961740"/>
    <w:rsid w:val="009650A1"/>
    <w:rsid w:val="00965727"/>
    <w:rsid w:val="009662DD"/>
    <w:rsid w:val="00971DA4"/>
    <w:rsid w:val="00972706"/>
    <w:rsid w:val="009769BA"/>
    <w:rsid w:val="0098219D"/>
    <w:rsid w:val="009853F0"/>
    <w:rsid w:val="00986889"/>
    <w:rsid w:val="00987344"/>
    <w:rsid w:val="009919F7"/>
    <w:rsid w:val="00992D7B"/>
    <w:rsid w:val="009A10DE"/>
    <w:rsid w:val="009A15BC"/>
    <w:rsid w:val="009A3989"/>
    <w:rsid w:val="009B5457"/>
    <w:rsid w:val="009B6D1E"/>
    <w:rsid w:val="009C5C39"/>
    <w:rsid w:val="009C66DD"/>
    <w:rsid w:val="009C77D5"/>
    <w:rsid w:val="009D1E31"/>
    <w:rsid w:val="009D2351"/>
    <w:rsid w:val="009D2576"/>
    <w:rsid w:val="009D53D9"/>
    <w:rsid w:val="009D5F71"/>
    <w:rsid w:val="009D7EDB"/>
    <w:rsid w:val="009E0242"/>
    <w:rsid w:val="009E5F50"/>
    <w:rsid w:val="009E7C9E"/>
    <w:rsid w:val="009F0C71"/>
    <w:rsid w:val="009F1647"/>
    <w:rsid w:val="009F1FFD"/>
    <w:rsid w:val="009F36DE"/>
    <w:rsid w:val="009F6036"/>
    <w:rsid w:val="009F76DA"/>
    <w:rsid w:val="00A00FFA"/>
    <w:rsid w:val="00A0433B"/>
    <w:rsid w:val="00A04621"/>
    <w:rsid w:val="00A21EAB"/>
    <w:rsid w:val="00A26B01"/>
    <w:rsid w:val="00A270E2"/>
    <w:rsid w:val="00A340A4"/>
    <w:rsid w:val="00A345F7"/>
    <w:rsid w:val="00A349AE"/>
    <w:rsid w:val="00A35E88"/>
    <w:rsid w:val="00A37DD9"/>
    <w:rsid w:val="00A4060B"/>
    <w:rsid w:val="00A544DE"/>
    <w:rsid w:val="00A605BC"/>
    <w:rsid w:val="00A61D47"/>
    <w:rsid w:val="00A62BD8"/>
    <w:rsid w:val="00A62EC9"/>
    <w:rsid w:val="00A66BCE"/>
    <w:rsid w:val="00A66CE8"/>
    <w:rsid w:val="00A677F5"/>
    <w:rsid w:val="00A721FE"/>
    <w:rsid w:val="00A728A2"/>
    <w:rsid w:val="00A73240"/>
    <w:rsid w:val="00A74668"/>
    <w:rsid w:val="00A74AFE"/>
    <w:rsid w:val="00A81A10"/>
    <w:rsid w:val="00A863E7"/>
    <w:rsid w:val="00A865F3"/>
    <w:rsid w:val="00A86D22"/>
    <w:rsid w:val="00A87B13"/>
    <w:rsid w:val="00A90086"/>
    <w:rsid w:val="00A910A9"/>
    <w:rsid w:val="00AA2576"/>
    <w:rsid w:val="00AA7472"/>
    <w:rsid w:val="00AB2E98"/>
    <w:rsid w:val="00AB650E"/>
    <w:rsid w:val="00AB6E48"/>
    <w:rsid w:val="00AC6A86"/>
    <w:rsid w:val="00AD0228"/>
    <w:rsid w:val="00AD0648"/>
    <w:rsid w:val="00AD7B0A"/>
    <w:rsid w:val="00AE306B"/>
    <w:rsid w:val="00AE54E6"/>
    <w:rsid w:val="00AE5ED0"/>
    <w:rsid w:val="00AF1C2E"/>
    <w:rsid w:val="00AF545F"/>
    <w:rsid w:val="00AF6625"/>
    <w:rsid w:val="00B01F09"/>
    <w:rsid w:val="00B02F9C"/>
    <w:rsid w:val="00B056BE"/>
    <w:rsid w:val="00B10349"/>
    <w:rsid w:val="00B11B58"/>
    <w:rsid w:val="00B11EB5"/>
    <w:rsid w:val="00B1268A"/>
    <w:rsid w:val="00B15999"/>
    <w:rsid w:val="00B16A22"/>
    <w:rsid w:val="00B20343"/>
    <w:rsid w:val="00B25EF3"/>
    <w:rsid w:val="00B26CC1"/>
    <w:rsid w:val="00B2768B"/>
    <w:rsid w:val="00B31327"/>
    <w:rsid w:val="00B31DD5"/>
    <w:rsid w:val="00B32543"/>
    <w:rsid w:val="00B32554"/>
    <w:rsid w:val="00B32DDF"/>
    <w:rsid w:val="00B33149"/>
    <w:rsid w:val="00B34611"/>
    <w:rsid w:val="00B46503"/>
    <w:rsid w:val="00B5093D"/>
    <w:rsid w:val="00B52DCE"/>
    <w:rsid w:val="00B53855"/>
    <w:rsid w:val="00B53E4A"/>
    <w:rsid w:val="00B5438E"/>
    <w:rsid w:val="00B5447A"/>
    <w:rsid w:val="00B57D4F"/>
    <w:rsid w:val="00B6026E"/>
    <w:rsid w:val="00B622AD"/>
    <w:rsid w:val="00B65E2F"/>
    <w:rsid w:val="00B66C89"/>
    <w:rsid w:val="00B6762B"/>
    <w:rsid w:val="00B676E9"/>
    <w:rsid w:val="00B67B39"/>
    <w:rsid w:val="00B701C0"/>
    <w:rsid w:val="00B71B5E"/>
    <w:rsid w:val="00B72BC1"/>
    <w:rsid w:val="00B738C6"/>
    <w:rsid w:val="00B73C7C"/>
    <w:rsid w:val="00B750F2"/>
    <w:rsid w:val="00B77BB5"/>
    <w:rsid w:val="00B83028"/>
    <w:rsid w:val="00B916EA"/>
    <w:rsid w:val="00B92EF7"/>
    <w:rsid w:val="00B9792C"/>
    <w:rsid w:val="00B97B4A"/>
    <w:rsid w:val="00BA086A"/>
    <w:rsid w:val="00BA4228"/>
    <w:rsid w:val="00BA6415"/>
    <w:rsid w:val="00BB4958"/>
    <w:rsid w:val="00BB4F17"/>
    <w:rsid w:val="00BB750B"/>
    <w:rsid w:val="00BC0F67"/>
    <w:rsid w:val="00BC10A2"/>
    <w:rsid w:val="00BC13E9"/>
    <w:rsid w:val="00BC14D5"/>
    <w:rsid w:val="00BC3604"/>
    <w:rsid w:val="00BC4D4B"/>
    <w:rsid w:val="00BC58AC"/>
    <w:rsid w:val="00BC685D"/>
    <w:rsid w:val="00BC6E39"/>
    <w:rsid w:val="00BC7DD9"/>
    <w:rsid w:val="00BD1B57"/>
    <w:rsid w:val="00BD1DA7"/>
    <w:rsid w:val="00BD3306"/>
    <w:rsid w:val="00BD456B"/>
    <w:rsid w:val="00BE2E8D"/>
    <w:rsid w:val="00BE325E"/>
    <w:rsid w:val="00BE4022"/>
    <w:rsid w:val="00BE430F"/>
    <w:rsid w:val="00BE47EE"/>
    <w:rsid w:val="00BE616B"/>
    <w:rsid w:val="00BE76A5"/>
    <w:rsid w:val="00BE7A7E"/>
    <w:rsid w:val="00BF0051"/>
    <w:rsid w:val="00BF3722"/>
    <w:rsid w:val="00C06BAE"/>
    <w:rsid w:val="00C10F33"/>
    <w:rsid w:val="00C145B6"/>
    <w:rsid w:val="00C1487A"/>
    <w:rsid w:val="00C17678"/>
    <w:rsid w:val="00C2335D"/>
    <w:rsid w:val="00C27D2C"/>
    <w:rsid w:val="00C347EE"/>
    <w:rsid w:val="00C3547D"/>
    <w:rsid w:val="00C37E2A"/>
    <w:rsid w:val="00C4068F"/>
    <w:rsid w:val="00C410A8"/>
    <w:rsid w:val="00C42CBD"/>
    <w:rsid w:val="00C436AC"/>
    <w:rsid w:val="00C45568"/>
    <w:rsid w:val="00C45AA8"/>
    <w:rsid w:val="00C45FDA"/>
    <w:rsid w:val="00C511F5"/>
    <w:rsid w:val="00C52DE5"/>
    <w:rsid w:val="00C53B58"/>
    <w:rsid w:val="00C56D75"/>
    <w:rsid w:val="00C57257"/>
    <w:rsid w:val="00C60696"/>
    <w:rsid w:val="00C6545A"/>
    <w:rsid w:val="00C7071C"/>
    <w:rsid w:val="00C74C83"/>
    <w:rsid w:val="00C77C7F"/>
    <w:rsid w:val="00C80629"/>
    <w:rsid w:val="00C83441"/>
    <w:rsid w:val="00C85E54"/>
    <w:rsid w:val="00C8664C"/>
    <w:rsid w:val="00C870E7"/>
    <w:rsid w:val="00C87720"/>
    <w:rsid w:val="00C9097E"/>
    <w:rsid w:val="00C9106C"/>
    <w:rsid w:val="00C921B9"/>
    <w:rsid w:val="00C92F20"/>
    <w:rsid w:val="00C97B02"/>
    <w:rsid w:val="00CA03E8"/>
    <w:rsid w:val="00CA0DA9"/>
    <w:rsid w:val="00CA1D9C"/>
    <w:rsid w:val="00CA3ECA"/>
    <w:rsid w:val="00CA593C"/>
    <w:rsid w:val="00CB0702"/>
    <w:rsid w:val="00CB191F"/>
    <w:rsid w:val="00CB2293"/>
    <w:rsid w:val="00CB26E5"/>
    <w:rsid w:val="00CB3937"/>
    <w:rsid w:val="00CB4BD5"/>
    <w:rsid w:val="00CB5D5F"/>
    <w:rsid w:val="00CB6DF9"/>
    <w:rsid w:val="00CC0C33"/>
    <w:rsid w:val="00CC0EA6"/>
    <w:rsid w:val="00CC3A37"/>
    <w:rsid w:val="00CC5CF9"/>
    <w:rsid w:val="00CC60DD"/>
    <w:rsid w:val="00CD033A"/>
    <w:rsid w:val="00CD08EE"/>
    <w:rsid w:val="00CD329F"/>
    <w:rsid w:val="00CD39C1"/>
    <w:rsid w:val="00CD441D"/>
    <w:rsid w:val="00CE3D3A"/>
    <w:rsid w:val="00CE7553"/>
    <w:rsid w:val="00CF3336"/>
    <w:rsid w:val="00CF4026"/>
    <w:rsid w:val="00CF48FC"/>
    <w:rsid w:val="00CF6791"/>
    <w:rsid w:val="00CF6EF0"/>
    <w:rsid w:val="00D02E82"/>
    <w:rsid w:val="00D04033"/>
    <w:rsid w:val="00D04634"/>
    <w:rsid w:val="00D070A1"/>
    <w:rsid w:val="00D07952"/>
    <w:rsid w:val="00D115D8"/>
    <w:rsid w:val="00D148FC"/>
    <w:rsid w:val="00D21855"/>
    <w:rsid w:val="00D24421"/>
    <w:rsid w:val="00D26BC2"/>
    <w:rsid w:val="00D2740B"/>
    <w:rsid w:val="00D275BC"/>
    <w:rsid w:val="00D30179"/>
    <w:rsid w:val="00D30894"/>
    <w:rsid w:val="00D40507"/>
    <w:rsid w:val="00D4350F"/>
    <w:rsid w:val="00D43976"/>
    <w:rsid w:val="00D445F1"/>
    <w:rsid w:val="00D453FD"/>
    <w:rsid w:val="00D45FE3"/>
    <w:rsid w:val="00D4650C"/>
    <w:rsid w:val="00D51B8F"/>
    <w:rsid w:val="00D5202D"/>
    <w:rsid w:val="00D52B2F"/>
    <w:rsid w:val="00D543E4"/>
    <w:rsid w:val="00D65143"/>
    <w:rsid w:val="00D65C31"/>
    <w:rsid w:val="00D662B4"/>
    <w:rsid w:val="00D665A6"/>
    <w:rsid w:val="00D6762F"/>
    <w:rsid w:val="00D71A2B"/>
    <w:rsid w:val="00D71D38"/>
    <w:rsid w:val="00D72E34"/>
    <w:rsid w:val="00D73B93"/>
    <w:rsid w:val="00D73BBE"/>
    <w:rsid w:val="00D817B2"/>
    <w:rsid w:val="00D83E08"/>
    <w:rsid w:val="00D900ED"/>
    <w:rsid w:val="00D92149"/>
    <w:rsid w:val="00D9287B"/>
    <w:rsid w:val="00D9517F"/>
    <w:rsid w:val="00D97017"/>
    <w:rsid w:val="00DA1671"/>
    <w:rsid w:val="00DA276F"/>
    <w:rsid w:val="00DA2ED9"/>
    <w:rsid w:val="00DA3526"/>
    <w:rsid w:val="00DA3B8A"/>
    <w:rsid w:val="00DA7E18"/>
    <w:rsid w:val="00DB247A"/>
    <w:rsid w:val="00DB2632"/>
    <w:rsid w:val="00DB2C1C"/>
    <w:rsid w:val="00DB2E12"/>
    <w:rsid w:val="00DB335B"/>
    <w:rsid w:val="00DB6B97"/>
    <w:rsid w:val="00DC0A27"/>
    <w:rsid w:val="00DC4FFF"/>
    <w:rsid w:val="00DD3D61"/>
    <w:rsid w:val="00DD442C"/>
    <w:rsid w:val="00DD545B"/>
    <w:rsid w:val="00DD5811"/>
    <w:rsid w:val="00DE093E"/>
    <w:rsid w:val="00DE0B56"/>
    <w:rsid w:val="00DE3319"/>
    <w:rsid w:val="00DE5E49"/>
    <w:rsid w:val="00DF28E2"/>
    <w:rsid w:val="00DF45AD"/>
    <w:rsid w:val="00DF7970"/>
    <w:rsid w:val="00E00686"/>
    <w:rsid w:val="00E021B1"/>
    <w:rsid w:val="00E0317B"/>
    <w:rsid w:val="00E066B9"/>
    <w:rsid w:val="00E10142"/>
    <w:rsid w:val="00E12847"/>
    <w:rsid w:val="00E169D9"/>
    <w:rsid w:val="00E2027D"/>
    <w:rsid w:val="00E20A74"/>
    <w:rsid w:val="00E2407F"/>
    <w:rsid w:val="00E304CE"/>
    <w:rsid w:val="00E315B7"/>
    <w:rsid w:val="00E33ABC"/>
    <w:rsid w:val="00E42264"/>
    <w:rsid w:val="00E43BE7"/>
    <w:rsid w:val="00E43FA4"/>
    <w:rsid w:val="00E45E2A"/>
    <w:rsid w:val="00E4715A"/>
    <w:rsid w:val="00E47985"/>
    <w:rsid w:val="00E52A7E"/>
    <w:rsid w:val="00E544C7"/>
    <w:rsid w:val="00E56821"/>
    <w:rsid w:val="00E630C1"/>
    <w:rsid w:val="00E645B1"/>
    <w:rsid w:val="00E6507C"/>
    <w:rsid w:val="00E660CD"/>
    <w:rsid w:val="00E70106"/>
    <w:rsid w:val="00E71B7F"/>
    <w:rsid w:val="00E721FF"/>
    <w:rsid w:val="00E72549"/>
    <w:rsid w:val="00E7275E"/>
    <w:rsid w:val="00E75B2A"/>
    <w:rsid w:val="00E77809"/>
    <w:rsid w:val="00E8103D"/>
    <w:rsid w:val="00E81C08"/>
    <w:rsid w:val="00E87D6A"/>
    <w:rsid w:val="00E90145"/>
    <w:rsid w:val="00E90DCC"/>
    <w:rsid w:val="00E9350D"/>
    <w:rsid w:val="00E9610E"/>
    <w:rsid w:val="00EA1F8A"/>
    <w:rsid w:val="00EB22C4"/>
    <w:rsid w:val="00EB26AB"/>
    <w:rsid w:val="00EB4513"/>
    <w:rsid w:val="00EB75FF"/>
    <w:rsid w:val="00EC3B9A"/>
    <w:rsid w:val="00EC510C"/>
    <w:rsid w:val="00EC7690"/>
    <w:rsid w:val="00ED22B5"/>
    <w:rsid w:val="00ED7D99"/>
    <w:rsid w:val="00EE284D"/>
    <w:rsid w:val="00EE4CF8"/>
    <w:rsid w:val="00EF3A97"/>
    <w:rsid w:val="00EF720B"/>
    <w:rsid w:val="00EF758B"/>
    <w:rsid w:val="00F01E31"/>
    <w:rsid w:val="00F034B5"/>
    <w:rsid w:val="00F051D9"/>
    <w:rsid w:val="00F0727F"/>
    <w:rsid w:val="00F144B7"/>
    <w:rsid w:val="00F14AC4"/>
    <w:rsid w:val="00F20BF2"/>
    <w:rsid w:val="00F2458A"/>
    <w:rsid w:val="00F250F8"/>
    <w:rsid w:val="00F265DE"/>
    <w:rsid w:val="00F271CF"/>
    <w:rsid w:val="00F341DB"/>
    <w:rsid w:val="00F40DB6"/>
    <w:rsid w:val="00F42098"/>
    <w:rsid w:val="00F512AC"/>
    <w:rsid w:val="00F51E21"/>
    <w:rsid w:val="00F549DC"/>
    <w:rsid w:val="00F54CF5"/>
    <w:rsid w:val="00F56DCB"/>
    <w:rsid w:val="00F576AF"/>
    <w:rsid w:val="00F61FEA"/>
    <w:rsid w:val="00F63098"/>
    <w:rsid w:val="00F644BC"/>
    <w:rsid w:val="00F64562"/>
    <w:rsid w:val="00F70894"/>
    <w:rsid w:val="00F70A6B"/>
    <w:rsid w:val="00F70BE9"/>
    <w:rsid w:val="00F71D5F"/>
    <w:rsid w:val="00F7261E"/>
    <w:rsid w:val="00F72EC7"/>
    <w:rsid w:val="00F736BB"/>
    <w:rsid w:val="00F74D5C"/>
    <w:rsid w:val="00F856D3"/>
    <w:rsid w:val="00F870B2"/>
    <w:rsid w:val="00F9050F"/>
    <w:rsid w:val="00F90873"/>
    <w:rsid w:val="00F91365"/>
    <w:rsid w:val="00F92A18"/>
    <w:rsid w:val="00F94474"/>
    <w:rsid w:val="00F95584"/>
    <w:rsid w:val="00F96B0B"/>
    <w:rsid w:val="00F979B9"/>
    <w:rsid w:val="00FA04E0"/>
    <w:rsid w:val="00FA143A"/>
    <w:rsid w:val="00FA189D"/>
    <w:rsid w:val="00FA51A6"/>
    <w:rsid w:val="00FB20CB"/>
    <w:rsid w:val="00FB3DCF"/>
    <w:rsid w:val="00FB44D7"/>
    <w:rsid w:val="00FB4DAC"/>
    <w:rsid w:val="00FB5705"/>
    <w:rsid w:val="00FB5DB7"/>
    <w:rsid w:val="00FB6D14"/>
    <w:rsid w:val="00FC031B"/>
    <w:rsid w:val="00FC2A33"/>
    <w:rsid w:val="00FC4725"/>
    <w:rsid w:val="00FC583C"/>
    <w:rsid w:val="00FC59E7"/>
    <w:rsid w:val="00FD1211"/>
    <w:rsid w:val="00FD1DA7"/>
    <w:rsid w:val="00FD6427"/>
    <w:rsid w:val="00FD6616"/>
    <w:rsid w:val="00FE0901"/>
    <w:rsid w:val="00FE13E8"/>
    <w:rsid w:val="00FE1C49"/>
    <w:rsid w:val="00FF0174"/>
    <w:rsid w:val="00FF047E"/>
    <w:rsid w:val="00FF06A6"/>
    <w:rsid w:val="00FF11FC"/>
    <w:rsid w:val="00FF13E3"/>
    <w:rsid w:val="00FF1795"/>
    <w:rsid w:val="00FF2E1B"/>
    <w:rsid w:val="00FF4A3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D7D4D8"/>
  <w15:chartTrackingRefBased/>
  <w15:docId w15:val="{D6BF74E9-F78D-43A2-B221-AAC92F6CEE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1"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7872F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1"/>
    <w:qFormat/>
    <w:rsid w:val="007872FE"/>
    <w:pPr>
      <w:keepNext/>
      <w:spacing w:after="0" w:line="240" w:lineRule="auto"/>
      <w:jc w:val="both"/>
      <w:outlineLvl w:val="1"/>
    </w:pPr>
    <w:rPr>
      <w:rFonts w:ascii="Times New Roman" w:eastAsia="Times New Roman" w:hAnsi="Times New Roman" w:cs="Times New Roman"/>
      <w:b/>
      <w:bCs/>
      <w:sz w:val="24"/>
      <w:u w:val="single"/>
      <w:lang w:eastAsia="it-IT"/>
    </w:rPr>
  </w:style>
  <w:style w:type="paragraph" w:styleId="Titolo3">
    <w:name w:val="heading 3"/>
    <w:basedOn w:val="Normale"/>
    <w:next w:val="Normale"/>
    <w:link w:val="Titolo3Carattere"/>
    <w:unhideWhenUsed/>
    <w:qFormat/>
    <w:rsid w:val="007872FE"/>
    <w:pPr>
      <w:keepNext/>
      <w:keepLines/>
      <w:spacing w:before="40" w:after="0" w:line="240" w:lineRule="auto"/>
      <w:outlineLvl w:val="2"/>
    </w:pPr>
    <w:rPr>
      <w:rFonts w:asciiTheme="majorHAnsi" w:eastAsiaTheme="majorEastAsia" w:hAnsiTheme="majorHAnsi" w:cstheme="majorBidi"/>
      <w:color w:val="1F3763" w:themeColor="accent1" w:themeShade="7F"/>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1"/>
    <w:rsid w:val="007872FE"/>
    <w:rPr>
      <w:rFonts w:ascii="Times New Roman" w:eastAsia="Times New Roman" w:hAnsi="Times New Roman" w:cs="Times New Roman"/>
      <w:b/>
      <w:bCs/>
      <w:sz w:val="24"/>
      <w:u w:val="single"/>
      <w:lang w:eastAsia="it-IT"/>
    </w:rPr>
  </w:style>
  <w:style w:type="character" w:customStyle="1" w:styleId="Titolo3Carattere">
    <w:name w:val="Titolo 3 Carattere"/>
    <w:basedOn w:val="Carpredefinitoparagrafo"/>
    <w:link w:val="Titolo3"/>
    <w:rsid w:val="007872FE"/>
    <w:rPr>
      <w:rFonts w:asciiTheme="majorHAnsi" w:eastAsiaTheme="majorEastAsia" w:hAnsiTheme="majorHAnsi" w:cstheme="majorBidi"/>
      <w:color w:val="1F3763" w:themeColor="accent1" w:themeShade="7F"/>
      <w:sz w:val="24"/>
      <w:szCs w:val="24"/>
      <w:lang w:eastAsia="it-IT"/>
    </w:rPr>
  </w:style>
  <w:style w:type="character" w:styleId="Rimandonotaapidipagina">
    <w:name w:val="footnote reference"/>
    <w:aliases w:val="f,nota pié di pagina,ftref,16 Point,Superscript 6 Point,Footnote Reference Number,Footnote Reference_LVL6,Footnote Reference_LVL61,Footnote Reference_LVL62,Footnote Reference_LVL63,Footnote Reference_LVL64,Знак сноски-FN,fr"/>
    <w:basedOn w:val="Carpredefinitoparagrafo"/>
    <w:link w:val="BVIfnrChar1CharCharChar"/>
    <w:uiPriority w:val="99"/>
    <w:qFormat/>
    <w:rsid w:val="007872FE"/>
    <w:rPr>
      <w:vertAlign w:val="superscript"/>
    </w:rPr>
  </w:style>
  <w:style w:type="paragraph" w:customStyle="1" w:styleId="BVIfnrChar1CharCharChar">
    <w:name w:val="BVI fnr Char1 Char Char Char"/>
    <w:aliases w:val="BVI fnr Car Car Char1 Char Char Char,BVI fnr Car Char1 Char Char Char,BVI fnr Car Car Car Car Char Char1 Char Char"/>
    <w:basedOn w:val="Normale"/>
    <w:link w:val="Rimandonotaapidipagina"/>
    <w:uiPriority w:val="99"/>
    <w:rsid w:val="007872FE"/>
    <w:pPr>
      <w:spacing w:line="240" w:lineRule="exact"/>
    </w:pPr>
    <w:rPr>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footnotes"/>
    <w:basedOn w:val="Normale"/>
    <w:link w:val="TestonotaapidipaginaCarattere"/>
    <w:uiPriority w:val="99"/>
    <w:qFormat/>
    <w:rsid w:val="007872FE"/>
    <w:pPr>
      <w:spacing w:after="0" w:line="240" w:lineRule="auto"/>
    </w:pPr>
    <w:rPr>
      <w:rFonts w:ascii="Times New Roman" w:eastAsia="Times New Roman" w:hAnsi="Times New Roman" w:cs="Times New Roman"/>
      <w:sz w:val="20"/>
      <w:szCs w:val="20"/>
      <w:lang w:eastAsia="it-IT"/>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7872FE"/>
    <w:rPr>
      <w:rFonts w:ascii="Times New Roman" w:eastAsia="Times New Roman" w:hAnsi="Times New Roman" w:cs="Times New Roman"/>
      <w:sz w:val="20"/>
      <w:szCs w:val="20"/>
      <w:lang w:eastAsia="it-IT"/>
    </w:rPr>
  </w:style>
  <w:style w:type="character" w:styleId="Collegamentoipertestuale">
    <w:name w:val="Hyperlink"/>
    <w:basedOn w:val="Carpredefinitoparagrafo"/>
    <w:uiPriority w:val="99"/>
    <w:rsid w:val="007872FE"/>
    <w:rPr>
      <w:color w:val="0000FF"/>
      <w:u w:val="single"/>
    </w:rPr>
  </w:style>
  <w:style w:type="character" w:styleId="Enfasigrassetto">
    <w:name w:val="Strong"/>
    <w:basedOn w:val="Carpredefinitoparagrafo"/>
    <w:uiPriority w:val="22"/>
    <w:qFormat/>
    <w:rsid w:val="007872FE"/>
    <w:rPr>
      <w:b/>
      <w:bCs/>
    </w:rPr>
  </w:style>
  <w:style w:type="paragraph" w:styleId="Rientrocorpodeltesto">
    <w:name w:val="Body Text Indent"/>
    <w:basedOn w:val="Normale"/>
    <w:link w:val="RientrocorpodeltestoCarattere"/>
    <w:unhideWhenUsed/>
    <w:rsid w:val="007872FE"/>
    <w:pPr>
      <w:spacing w:after="120" w:line="240" w:lineRule="auto"/>
      <w:ind w:left="283"/>
    </w:pPr>
    <w:rPr>
      <w:rFonts w:ascii="Times New Roman" w:eastAsia="Times New Roman" w:hAnsi="Times New Roman" w:cs="Times New Roman"/>
      <w:sz w:val="24"/>
      <w:szCs w:val="24"/>
      <w:lang w:eastAsia="it-IT"/>
    </w:rPr>
  </w:style>
  <w:style w:type="character" w:customStyle="1" w:styleId="RientrocorpodeltestoCarattere">
    <w:name w:val="Rientro corpo del testo Carattere"/>
    <w:basedOn w:val="Carpredefinitoparagrafo"/>
    <w:link w:val="Rientrocorpodeltesto"/>
    <w:rsid w:val="007872FE"/>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7872FE"/>
    <w:rPr>
      <w:i/>
      <w:iCs/>
    </w:rPr>
  </w:style>
  <w:style w:type="paragraph" w:customStyle="1" w:styleId="ar12">
    <w:name w:val="ar12"/>
    <w:basedOn w:val="Normale"/>
    <w:rsid w:val="007872FE"/>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efault">
    <w:name w:val="Default"/>
    <w:rsid w:val="007872FE"/>
    <w:pPr>
      <w:autoSpaceDE w:val="0"/>
      <w:autoSpaceDN w:val="0"/>
      <w:adjustRightInd w:val="0"/>
      <w:spacing w:after="0" w:line="240" w:lineRule="auto"/>
    </w:pPr>
    <w:rPr>
      <w:rFonts w:ascii="Calibri" w:eastAsia="Calibri" w:hAnsi="Calibri" w:cs="Calibri"/>
      <w:color w:val="000000"/>
      <w:sz w:val="24"/>
      <w:szCs w:val="24"/>
    </w:rPr>
  </w:style>
  <w:style w:type="paragraph" w:styleId="Nessunaspaziatura">
    <w:name w:val="No Spacing"/>
    <w:uiPriority w:val="1"/>
    <w:qFormat/>
    <w:rsid w:val="007872FE"/>
    <w:pPr>
      <w:spacing w:after="0" w:line="240" w:lineRule="auto"/>
    </w:pPr>
  </w:style>
  <w:style w:type="character" w:customStyle="1" w:styleId="Titolo1Carattere">
    <w:name w:val="Titolo 1 Carattere"/>
    <w:basedOn w:val="Carpredefinitoparagrafo"/>
    <w:link w:val="Titolo1"/>
    <w:uiPriority w:val="9"/>
    <w:rsid w:val="007872FE"/>
    <w:rPr>
      <w:rFonts w:asciiTheme="majorHAnsi" w:eastAsiaTheme="majorEastAsia" w:hAnsiTheme="majorHAnsi" w:cstheme="majorBidi"/>
      <w:color w:val="2F5496" w:themeColor="accent1" w:themeShade="BF"/>
      <w:sz w:val="32"/>
      <w:szCs w:val="32"/>
    </w:rPr>
  </w:style>
  <w:style w:type="paragraph" w:styleId="Titolosommario">
    <w:name w:val="TOC Heading"/>
    <w:basedOn w:val="Titolo1"/>
    <w:next w:val="Normale"/>
    <w:uiPriority w:val="39"/>
    <w:unhideWhenUsed/>
    <w:qFormat/>
    <w:rsid w:val="007872FE"/>
    <w:pPr>
      <w:outlineLvl w:val="9"/>
    </w:pPr>
    <w:rPr>
      <w:lang w:eastAsia="it-IT"/>
    </w:rPr>
  </w:style>
  <w:style w:type="paragraph" w:styleId="Sommario2">
    <w:name w:val="toc 2"/>
    <w:basedOn w:val="Normale"/>
    <w:next w:val="Normale"/>
    <w:autoRedefine/>
    <w:uiPriority w:val="39"/>
    <w:unhideWhenUsed/>
    <w:rsid w:val="007872FE"/>
    <w:pPr>
      <w:spacing w:after="100" w:line="240" w:lineRule="auto"/>
      <w:ind w:left="240"/>
    </w:pPr>
    <w:rPr>
      <w:rFonts w:ascii="Times New Roman" w:eastAsia="Times New Roman" w:hAnsi="Times New Roman" w:cs="Times New Roman"/>
      <w:sz w:val="24"/>
      <w:szCs w:val="24"/>
      <w:lang w:eastAsia="it-IT"/>
    </w:rPr>
  </w:style>
  <w:style w:type="paragraph" w:styleId="Sommario3">
    <w:name w:val="toc 3"/>
    <w:basedOn w:val="Normale"/>
    <w:next w:val="Normale"/>
    <w:autoRedefine/>
    <w:uiPriority w:val="39"/>
    <w:unhideWhenUsed/>
    <w:rsid w:val="007872FE"/>
    <w:pPr>
      <w:spacing w:after="100" w:line="240" w:lineRule="auto"/>
      <w:ind w:left="480"/>
    </w:pPr>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DD3D61"/>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D3D61"/>
    <w:rPr>
      <w:rFonts w:ascii="Segoe UI" w:hAnsi="Segoe UI" w:cs="Segoe UI"/>
      <w:sz w:val="18"/>
      <w:szCs w:val="18"/>
    </w:rPr>
  </w:style>
  <w:style w:type="paragraph" w:styleId="Intestazione">
    <w:name w:val="header"/>
    <w:basedOn w:val="Normale"/>
    <w:link w:val="IntestazioneCarattere"/>
    <w:uiPriority w:val="99"/>
    <w:unhideWhenUsed/>
    <w:rsid w:val="007F2469"/>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7F2469"/>
  </w:style>
  <w:style w:type="paragraph" w:styleId="Pidipagina">
    <w:name w:val="footer"/>
    <w:basedOn w:val="Normale"/>
    <w:link w:val="PidipaginaCarattere"/>
    <w:uiPriority w:val="99"/>
    <w:unhideWhenUsed/>
    <w:rsid w:val="007F2469"/>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7F2469"/>
  </w:style>
  <w:style w:type="paragraph" w:styleId="Paragrafoelenco">
    <w:name w:val="List Paragraph"/>
    <w:basedOn w:val="Normale"/>
    <w:uiPriority w:val="34"/>
    <w:qFormat/>
    <w:rsid w:val="005207CB"/>
    <w:pPr>
      <w:ind w:left="720"/>
      <w:contextualSpacing/>
    </w:pPr>
  </w:style>
  <w:style w:type="paragraph" w:styleId="Corpotesto">
    <w:name w:val="Body Text"/>
    <w:basedOn w:val="Normale"/>
    <w:link w:val="CorpotestoCarattere"/>
    <w:uiPriority w:val="99"/>
    <w:semiHidden/>
    <w:unhideWhenUsed/>
    <w:rsid w:val="0019127E"/>
    <w:pPr>
      <w:spacing w:after="120"/>
    </w:pPr>
  </w:style>
  <w:style w:type="character" w:customStyle="1" w:styleId="CorpotestoCarattere">
    <w:name w:val="Corpo testo Carattere"/>
    <w:basedOn w:val="Carpredefinitoparagrafo"/>
    <w:link w:val="Corpotesto"/>
    <w:uiPriority w:val="99"/>
    <w:semiHidden/>
    <w:rsid w:val="0019127E"/>
  </w:style>
  <w:style w:type="character" w:styleId="Rimandocommento">
    <w:name w:val="annotation reference"/>
    <w:basedOn w:val="Carpredefinitoparagrafo"/>
    <w:uiPriority w:val="99"/>
    <w:semiHidden/>
    <w:unhideWhenUsed/>
    <w:rsid w:val="00EE284D"/>
    <w:rPr>
      <w:sz w:val="16"/>
      <w:szCs w:val="16"/>
    </w:rPr>
  </w:style>
  <w:style w:type="paragraph" w:styleId="Testocommento">
    <w:name w:val="annotation text"/>
    <w:basedOn w:val="Normale"/>
    <w:link w:val="TestocommentoCarattere"/>
    <w:uiPriority w:val="99"/>
    <w:semiHidden/>
    <w:unhideWhenUsed/>
    <w:rsid w:val="00EE284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EE284D"/>
    <w:rPr>
      <w:sz w:val="20"/>
      <w:szCs w:val="20"/>
    </w:rPr>
  </w:style>
  <w:style w:type="paragraph" w:styleId="Soggettocommento">
    <w:name w:val="annotation subject"/>
    <w:basedOn w:val="Testocommento"/>
    <w:next w:val="Testocommento"/>
    <w:link w:val="SoggettocommentoCarattere"/>
    <w:uiPriority w:val="99"/>
    <w:semiHidden/>
    <w:unhideWhenUsed/>
    <w:rsid w:val="00EE284D"/>
    <w:rPr>
      <w:b/>
      <w:bCs/>
    </w:rPr>
  </w:style>
  <w:style w:type="character" w:customStyle="1" w:styleId="SoggettocommentoCarattere">
    <w:name w:val="Soggetto commento Carattere"/>
    <w:basedOn w:val="TestocommentoCarattere"/>
    <w:link w:val="Soggettocommento"/>
    <w:uiPriority w:val="99"/>
    <w:semiHidden/>
    <w:rsid w:val="00EE284D"/>
    <w:rPr>
      <w:b/>
      <w:bCs/>
      <w:sz w:val="20"/>
      <w:szCs w:val="20"/>
    </w:rPr>
  </w:style>
  <w:style w:type="paragraph" w:customStyle="1" w:styleId="Pa3">
    <w:name w:val="Pa3"/>
    <w:basedOn w:val="Default"/>
    <w:next w:val="Default"/>
    <w:uiPriority w:val="99"/>
    <w:rsid w:val="00215273"/>
    <w:pPr>
      <w:spacing w:line="201" w:lineRule="atLeast"/>
    </w:pPr>
    <w:rPr>
      <w:rFonts w:ascii="Georgia" w:eastAsiaTheme="minorHAnsi" w:hAnsi="Georgia" w:cstheme="minorBidi"/>
      <w:color w:val="auto"/>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82511296">
      <w:bodyDiv w:val="1"/>
      <w:marLeft w:val="0"/>
      <w:marRight w:val="0"/>
      <w:marTop w:val="0"/>
      <w:marBottom w:val="0"/>
      <w:divBdr>
        <w:top w:val="none" w:sz="0" w:space="0" w:color="auto"/>
        <w:left w:val="none" w:sz="0" w:space="0" w:color="auto"/>
        <w:bottom w:val="none" w:sz="0" w:space="0" w:color="auto"/>
        <w:right w:val="none" w:sz="0" w:space="0" w:color="auto"/>
      </w:divBdr>
      <w:divsChild>
        <w:div w:id="1841039409">
          <w:marLeft w:val="360"/>
          <w:marRight w:val="0"/>
          <w:marTop w:val="200"/>
          <w:marBottom w:val="0"/>
          <w:divBdr>
            <w:top w:val="none" w:sz="0" w:space="0" w:color="auto"/>
            <w:left w:val="none" w:sz="0" w:space="0" w:color="auto"/>
            <w:bottom w:val="none" w:sz="0" w:space="0" w:color="auto"/>
            <w:right w:val="none" w:sz="0" w:space="0" w:color="auto"/>
          </w:divBdr>
        </w:div>
        <w:div w:id="1353607168">
          <w:marLeft w:val="1080"/>
          <w:marRight w:val="0"/>
          <w:marTop w:val="100"/>
          <w:marBottom w:val="0"/>
          <w:divBdr>
            <w:top w:val="none" w:sz="0" w:space="0" w:color="auto"/>
            <w:left w:val="none" w:sz="0" w:space="0" w:color="auto"/>
            <w:bottom w:val="none" w:sz="0" w:space="0" w:color="auto"/>
            <w:right w:val="none" w:sz="0" w:space="0" w:color="auto"/>
          </w:divBdr>
        </w:div>
        <w:div w:id="894194289">
          <w:marLeft w:val="1800"/>
          <w:marRight w:val="0"/>
          <w:marTop w:val="100"/>
          <w:marBottom w:val="0"/>
          <w:divBdr>
            <w:top w:val="none" w:sz="0" w:space="0" w:color="auto"/>
            <w:left w:val="none" w:sz="0" w:space="0" w:color="auto"/>
            <w:bottom w:val="none" w:sz="0" w:space="0" w:color="auto"/>
            <w:right w:val="none" w:sz="0" w:space="0" w:color="auto"/>
          </w:divBdr>
        </w:div>
        <w:div w:id="795489024">
          <w:marLeft w:val="1800"/>
          <w:marRight w:val="0"/>
          <w:marTop w:val="100"/>
          <w:marBottom w:val="0"/>
          <w:divBdr>
            <w:top w:val="none" w:sz="0" w:space="0" w:color="auto"/>
            <w:left w:val="none" w:sz="0" w:space="0" w:color="auto"/>
            <w:bottom w:val="none" w:sz="0" w:space="0" w:color="auto"/>
            <w:right w:val="none" w:sz="0" w:space="0" w:color="auto"/>
          </w:divBdr>
        </w:div>
        <w:div w:id="2045252911">
          <w:marLeft w:val="1800"/>
          <w:marRight w:val="0"/>
          <w:marTop w:val="100"/>
          <w:marBottom w:val="0"/>
          <w:divBdr>
            <w:top w:val="none" w:sz="0" w:space="0" w:color="auto"/>
            <w:left w:val="none" w:sz="0" w:space="0" w:color="auto"/>
            <w:bottom w:val="none" w:sz="0" w:space="0" w:color="auto"/>
            <w:right w:val="none" w:sz="0" w:space="0" w:color="auto"/>
          </w:divBdr>
        </w:div>
        <w:div w:id="2123257982">
          <w:marLeft w:val="1800"/>
          <w:marRight w:val="0"/>
          <w:marTop w:val="100"/>
          <w:marBottom w:val="0"/>
          <w:divBdr>
            <w:top w:val="none" w:sz="0" w:space="0" w:color="auto"/>
            <w:left w:val="none" w:sz="0" w:space="0" w:color="auto"/>
            <w:bottom w:val="none" w:sz="0" w:space="0" w:color="auto"/>
            <w:right w:val="none" w:sz="0" w:space="0" w:color="auto"/>
          </w:divBdr>
        </w:div>
        <w:div w:id="1904870075">
          <w:marLeft w:val="1800"/>
          <w:marRight w:val="0"/>
          <w:marTop w:val="100"/>
          <w:marBottom w:val="0"/>
          <w:divBdr>
            <w:top w:val="none" w:sz="0" w:space="0" w:color="auto"/>
            <w:left w:val="none" w:sz="0" w:space="0" w:color="auto"/>
            <w:bottom w:val="none" w:sz="0" w:space="0" w:color="auto"/>
            <w:right w:val="none" w:sz="0" w:space="0" w:color="auto"/>
          </w:divBdr>
        </w:div>
        <w:div w:id="1264267206">
          <w:marLeft w:val="1080"/>
          <w:marRight w:val="0"/>
          <w:marTop w:val="100"/>
          <w:marBottom w:val="0"/>
          <w:divBdr>
            <w:top w:val="none" w:sz="0" w:space="0" w:color="auto"/>
            <w:left w:val="none" w:sz="0" w:space="0" w:color="auto"/>
            <w:bottom w:val="none" w:sz="0" w:space="0" w:color="auto"/>
            <w:right w:val="none" w:sz="0" w:space="0" w:color="auto"/>
          </w:divBdr>
        </w:div>
        <w:div w:id="738790076">
          <w:marLeft w:val="1800"/>
          <w:marRight w:val="0"/>
          <w:marTop w:val="100"/>
          <w:marBottom w:val="0"/>
          <w:divBdr>
            <w:top w:val="none" w:sz="0" w:space="0" w:color="auto"/>
            <w:left w:val="none" w:sz="0" w:space="0" w:color="auto"/>
            <w:bottom w:val="none" w:sz="0" w:space="0" w:color="auto"/>
            <w:right w:val="none" w:sz="0" w:space="0" w:color="auto"/>
          </w:divBdr>
        </w:div>
        <w:div w:id="825584554">
          <w:marLeft w:val="1800"/>
          <w:marRight w:val="0"/>
          <w:marTop w:val="100"/>
          <w:marBottom w:val="0"/>
          <w:divBdr>
            <w:top w:val="none" w:sz="0" w:space="0" w:color="auto"/>
            <w:left w:val="none" w:sz="0" w:space="0" w:color="auto"/>
            <w:bottom w:val="none" w:sz="0" w:space="0" w:color="auto"/>
            <w:right w:val="none" w:sz="0" w:space="0" w:color="auto"/>
          </w:divBdr>
        </w:div>
        <w:div w:id="1248996237">
          <w:marLeft w:val="1800"/>
          <w:marRight w:val="0"/>
          <w:marTop w:val="100"/>
          <w:marBottom w:val="0"/>
          <w:divBdr>
            <w:top w:val="none" w:sz="0" w:space="0" w:color="auto"/>
            <w:left w:val="none" w:sz="0" w:space="0" w:color="auto"/>
            <w:bottom w:val="none" w:sz="0" w:space="0" w:color="auto"/>
            <w:right w:val="none" w:sz="0" w:space="0" w:color="auto"/>
          </w:divBdr>
        </w:div>
        <w:div w:id="879049647">
          <w:marLeft w:val="1800"/>
          <w:marRight w:val="0"/>
          <w:marTop w:val="100"/>
          <w:marBottom w:val="0"/>
          <w:divBdr>
            <w:top w:val="none" w:sz="0" w:space="0" w:color="auto"/>
            <w:left w:val="none" w:sz="0" w:space="0" w:color="auto"/>
            <w:bottom w:val="none" w:sz="0" w:space="0" w:color="auto"/>
            <w:right w:val="none" w:sz="0" w:space="0" w:color="auto"/>
          </w:divBdr>
        </w:div>
        <w:div w:id="1492063804">
          <w:marLeft w:val="1800"/>
          <w:marRight w:val="0"/>
          <w:marTop w:val="100"/>
          <w:marBottom w:val="0"/>
          <w:divBdr>
            <w:top w:val="none" w:sz="0" w:space="0" w:color="auto"/>
            <w:left w:val="none" w:sz="0" w:space="0" w:color="auto"/>
            <w:bottom w:val="none" w:sz="0" w:space="0" w:color="auto"/>
            <w:right w:val="none" w:sz="0" w:space="0" w:color="auto"/>
          </w:divBdr>
        </w:div>
        <w:div w:id="1628584236">
          <w:marLeft w:val="1800"/>
          <w:marRight w:val="0"/>
          <w:marTop w:val="1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osservatoriosullefonti.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50E3A7-73D9-1B46-B948-EDA7E26526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22</Pages>
  <Words>9539</Words>
  <Characters>54375</Characters>
  <Application>Microsoft Office Word</Application>
  <DocSecurity>0</DocSecurity>
  <Lines>453</Lines>
  <Paragraphs>127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63787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Chiara Favilli</dc:creator>
  <cp:keywords/>
  <dc:description/>
  <cp:lastModifiedBy>Giandonato Caggiano</cp:lastModifiedBy>
  <cp:revision>3</cp:revision>
  <cp:lastPrinted>2019-06-18T14:55:00Z</cp:lastPrinted>
  <dcterms:created xsi:type="dcterms:W3CDTF">2019-10-06T13:25:00Z</dcterms:created>
  <dcterms:modified xsi:type="dcterms:W3CDTF">2019-10-06T13:43:00Z</dcterms:modified>
</cp:coreProperties>
</file>