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22C0F" w14:textId="77777777" w:rsidR="00276D3D" w:rsidRDefault="00276D3D" w:rsidP="008D0EA1">
      <w:pPr>
        <w:pStyle w:val="Titolo4"/>
        <w:rPr>
          <w:rFonts w:ascii="Arial" w:hAnsi="Arial" w:cs="Arial"/>
          <w:smallCaps/>
          <w:color w:val="000000"/>
          <w:sz w:val="28"/>
          <w:szCs w:val="28"/>
          <w:lang w:val="en-US"/>
        </w:rPr>
      </w:pPr>
    </w:p>
    <w:p w14:paraId="4FE22C10" w14:textId="74E5EB43" w:rsidR="008D0EA1" w:rsidRPr="00677BB1" w:rsidRDefault="00101AC6" w:rsidP="008D0EA1">
      <w:pPr>
        <w:pStyle w:val="Titolo4"/>
        <w:rPr>
          <w:rFonts w:ascii="Arial" w:hAnsi="Arial" w:cs="Arial"/>
          <w:smallCaps/>
          <w:sz w:val="28"/>
          <w:szCs w:val="28"/>
          <w:lang w:val="en-US"/>
        </w:rPr>
      </w:pPr>
      <w:r w:rsidRPr="00101AC6">
        <w:rPr>
          <w:rFonts w:ascii="Arial" w:hAnsi="Arial" w:cs="Arial"/>
          <w:smallCaps/>
          <w:sz w:val="28"/>
          <w:szCs w:val="28"/>
          <w:lang w:val="en-US"/>
        </w:rPr>
        <w:t>Molecular Impact of the GLRX5 Met128Lys Mutation in Human Congenital Sideroblastic Anemia</w:t>
      </w:r>
    </w:p>
    <w:p w14:paraId="4FE22C11" w14:textId="77777777" w:rsidR="00866CCB" w:rsidRPr="00866CCB" w:rsidRDefault="00866CCB" w:rsidP="00866CCB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FE22C12" w14:textId="1B32ACE0" w:rsidR="008D0EA1" w:rsidRPr="008D0EA1" w:rsidRDefault="001B1BB8" w:rsidP="008D0EA1">
      <w:pPr>
        <w:pStyle w:val="Titolo4"/>
        <w:rPr>
          <w:rFonts w:ascii="Arial" w:hAnsi="Arial" w:cs="Arial"/>
          <w:b w:val="0"/>
          <w:sz w:val="22"/>
          <w:szCs w:val="22"/>
          <w:lang w:val="en-US"/>
        </w:rPr>
      </w:pPr>
      <w:r>
        <w:rPr>
          <w:rFonts w:ascii="Arial" w:hAnsi="Arial" w:cs="Arial"/>
          <w:b w:val="0"/>
          <w:iCs/>
          <w:color w:val="000000"/>
          <w:sz w:val="22"/>
          <w:szCs w:val="22"/>
          <w:u w:val="single"/>
          <w:lang w:val="en-US"/>
        </w:rPr>
        <w:t>Rosanna Cuccaro</w:t>
      </w:r>
      <w:r w:rsidR="008D0EA1" w:rsidRPr="001B1BB8">
        <w:rPr>
          <w:rFonts w:ascii="Arial" w:hAnsi="Arial" w:cs="Arial"/>
          <w:b w:val="0"/>
          <w:iCs/>
          <w:color w:val="000000"/>
          <w:sz w:val="22"/>
          <w:szCs w:val="22"/>
          <w:vertAlign w:val="superscript"/>
          <w:lang w:val="en-US"/>
        </w:rPr>
        <w:t>1</w:t>
      </w:r>
      <w:r w:rsidR="00866CCB" w:rsidRPr="008D0EA1">
        <w:rPr>
          <w:rFonts w:ascii="Arial" w:hAnsi="Arial" w:cs="Arial"/>
          <w:b w:val="0"/>
          <w:iCs/>
          <w:color w:val="000000"/>
          <w:sz w:val="22"/>
          <w:szCs w:val="22"/>
          <w:lang w:val="en-US"/>
        </w:rPr>
        <w:t xml:space="preserve">, </w:t>
      </w:r>
      <w:r>
        <w:rPr>
          <w:rFonts w:ascii="Arial" w:hAnsi="Arial" w:cs="Arial"/>
          <w:b w:val="0"/>
          <w:iCs/>
          <w:color w:val="000000"/>
          <w:sz w:val="22"/>
          <w:szCs w:val="22"/>
          <w:lang w:val="en-US"/>
        </w:rPr>
        <w:t>Lucia Banci</w:t>
      </w:r>
      <w:r w:rsidRPr="001B1BB8">
        <w:rPr>
          <w:rFonts w:ascii="Arial" w:hAnsi="Arial" w:cs="Arial"/>
          <w:b w:val="0"/>
          <w:iCs/>
          <w:color w:val="000000"/>
          <w:sz w:val="22"/>
          <w:szCs w:val="22"/>
          <w:vertAlign w:val="superscript"/>
          <w:lang w:val="en-US"/>
        </w:rPr>
        <w:t>1,</w:t>
      </w:r>
      <w:r w:rsidR="008D0EA1" w:rsidRPr="001B1BB8">
        <w:rPr>
          <w:rFonts w:ascii="Arial" w:hAnsi="Arial" w:cs="Arial"/>
          <w:b w:val="0"/>
          <w:iCs/>
          <w:color w:val="000000"/>
          <w:sz w:val="22"/>
          <w:szCs w:val="22"/>
          <w:vertAlign w:val="superscript"/>
          <w:lang w:val="en-US"/>
        </w:rPr>
        <w:t>2</w:t>
      </w:r>
      <w:r w:rsidRPr="001B1BB8">
        <w:rPr>
          <w:rFonts w:ascii="Arial" w:hAnsi="Arial" w:cs="Arial"/>
          <w:b w:val="0"/>
          <w:iCs/>
          <w:color w:val="000000"/>
          <w:sz w:val="22"/>
          <w:szCs w:val="22"/>
          <w:vertAlign w:val="superscript"/>
          <w:lang w:val="en-US"/>
        </w:rPr>
        <w:t>,3</w:t>
      </w:r>
    </w:p>
    <w:p w14:paraId="4FE22C13" w14:textId="0EA16C00" w:rsidR="00866CCB" w:rsidRPr="001B1BB8" w:rsidRDefault="001B1BB8" w:rsidP="008D0EA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0"/>
          <w:szCs w:val="20"/>
          <w:lang w:val="it-IT" w:eastAsia="it-IT"/>
        </w:rPr>
      </w:pPr>
      <w:r w:rsidRPr="00274CA4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val="it-IT" w:eastAsia="it-IT"/>
        </w:rPr>
        <w:t>1</w:t>
      </w:r>
      <w:r w:rsidRPr="00274CA4">
        <w:rPr>
          <w:rFonts w:ascii="Arial" w:eastAsia="Times New Roman" w:hAnsi="Arial" w:cs="Arial"/>
          <w:i/>
          <w:iCs/>
          <w:color w:val="000000"/>
          <w:sz w:val="20"/>
          <w:szCs w:val="20"/>
          <w:lang w:val="it-IT" w:eastAsia="it-IT"/>
        </w:rPr>
        <w:t xml:space="preserve"> </w:t>
      </w:r>
      <w:r w:rsidRPr="00274CA4">
        <w:rPr>
          <w:rFonts w:ascii="Arial" w:hAnsi="Arial" w:cs="Arial"/>
          <w:i/>
          <w:iCs/>
          <w:sz w:val="20"/>
          <w:szCs w:val="20"/>
          <w:lang w:val="it-IT"/>
        </w:rPr>
        <w:t>Magnetic Resonance Center CERM, University of Florence, Via L. Sacconi 6, 50019 Sesto Fiorentino, Florence, Italy</w:t>
      </w:r>
      <w:r w:rsidRPr="00274CA4">
        <w:rPr>
          <w:rFonts w:ascii="Arial" w:eastAsia="Times New Roman" w:hAnsi="Arial" w:cs="Arial"/>
          <w:i/>
          <w:iCs/>
          <w:color w:val="000000"/>
          <w:sz w:val="20"/>
          <w:szCs w:val="20"/>
          <w:lang w:val="it-IT" w:eastAsia="it-IT"/>
        </w:rPr>
        <w:t xml:space="preserve">; </w:t>
      </w:r>
      <w:r w:rsidRPr="00274CA4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val="it-IT" w:eastAsia="it-IT"/>
        </w:rPr>
        <w:t>2</w:t>
      </w:r>
      <w:r w:rsidRPr="00274CA4">
        <w:rPr>
          <w:rFonts w:ascii="Arial" w:eastAsia="Times New Roman" w:hAnsi="Arial" w:cs="Arial"/>
          <w:i/>
          <w:iCs/>
          <w:color w:val="000000"/>
          <w:sz w:val="20"/>
          <w:szCs w:val="20"/>
          <w:lang w:val="it-IT" w:eastAsia="it-IT"/>
        </w:rPr>
        <w:t xml:space="preserve"> </w:t>
      </w:r>
      <w:r w:rsidRPr="00274CA4">
        <w:rPr>
          <w:rFonts w:ascii="Arial" w:hAnsi="Arial" w:cs="Arial"/>
          <w:i/>
          <w:iCs/>
          <w:sz w:val="20"/>
          <w:szCs w:val="20"/>
          <w:lang w:val="it-IT"/>
        </w:rPr>
        <w:t>Consorzio Interuniversitario Risonanze Magnetiche di Metalloproteine (CIRMMP), Via L. Sacconi 6, 50019 Sesto Fiorentino, Florence, Italy</w:t>
      </w:r>
      <w:r w:rsidRPr="00274CA4">
        <w:rPr>
          <w:rFonts w:ascii="Arial" w:eastAsia="Times New Roman" w:hAnsi="Arial" w:cs="Arial"/>
          <w:i/>
          <w:iCs/>
          <w:color w:val="000000"/>
          <w:sz w:val="20"/>
          <w:szCs w:val="20"/>
          <w:lang w:val="it-IT" w:eastAsia="it-IT"/>
        </w:rPr>
        <w:t xml:space="preserve">; </w:t>
      </w:r>
      <w:r w:rsidRPr="00274CA4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val="it-IT" w:eastAsia="it-IT"/>
        </w:rPr>
        <w:t>3</w:t>
      </w:r>
      <w:r w:rsidRPr="00274CA4">
        <w:rPr>
          <w:rFonts w:ascii="Arial" w:eastAsia="Times New Roman" w:hAnsi="Arial" w:cs="Arial"/>
          <w:i/>
          <w:iCs/>
          <w:color w:val="000000"/>
          <w:sz w:val="20"/>
          <w:szCs w:val="20"/>
          <w:lang w:val="it-IT" w:eastAsia="it-IT"/>
        </w:rPr>
        <w:t xml:space="preserve"> </w:t>
      </w:r>
      <w:r w:rsidRPr="00274CA4">
        <w:rPr>
          <w:rFonts w:ascii="Arial" w:hAnsi="Arial" w:cs="Arial"/>
          <w:i/>
          <w:iCs/>
          <w:sz w:val="20"/>
          <w:szCs w:val="20"/>
          <w:lang w:val="it-IT"/>
        </w:rPr>
        <w:t>Department of Chemistry, University of Florence, Via della Lastruccia 3, 50019 Sesto Fiorentino, Florence, Italy</w:t>
      </w:r>
      <w:r w:rsidRPr="00274CA4">
        <w:rPr>
          <w:rFonts w:ascii="Arial" w:eastAsia="Times New Roman" w:hAnsi="Arial" w:cs="Arial"/>
          <w:i/>
          <w:iCs/>
          <w:color w:val="000000"/>
          <w:sz w:val="20"/>
          <w:szCs w:val="20"/>
          <w:lang w:val="it-IT" w:eastAsia="it-IT"/>
        </w:rPr>
        <w:t>.</w:t>
      </w:r>
    </w:p>
    <w:p w14:paraId="4FE22C14" w14:textId="77777777" w:rsidR="008D0EA1" w:rsidRDefault="008D0EA1" w:rsidP="008D0EA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</w:pPr>
    </w:p>
    <w:p w14:paraId="4FE22C15" w14:textId="414F3FDA" w:rsidR="008D0EA1" w:rsidRPr="008D0EA1" w:rsidRDefault="001B1BB8" w:rsidP="008D0EA1">
      <w:pPr>
        <w:spacing w:after="0" w:line="240" w:lineRule="auto"/>
        <w:rPr>
          <w:rFonts w:ascii="Arial" w:eastAsia="Times New Roman" w:hAnsi="Arial" w:cs="Arial"/>
          <w:lang w:eastAsia="it-IT"/>
        </w:rPr>
      </w:pPr>
      <w:hyperlink r:id="rId6" w:history="1">
        <w:r w:rsidRPr="003F42F3">
          <w:rPr>
            <w:rStyle w:val="Collegamentoipertestuale"/>
            <w:rFonts w:ascii="Arial" w:eastAsia="Times New Roman" w:hAnsi="Arial" w:cs="Arial"/>
            <w:i/>
            <w:iCs/>
            <w:lang w:eastAsia="it-IT"/>
          </w:rPr>
          <w:t>rosanna.cuccaro@unifi.it</w:t>
        </w:r>
      </w:hyperlink>
    </w:p>
    <w:p w14:paraId="4FE22C16" w14:textId="77777777" w:rsidR="00866CCB" w:rsidRPr="00866CCB" w:rsidRDefault="00866CCB" w:rsidP="00866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D59FBF0" w14:textId="4FDFDA6B" w:rsidR="007F72A0" w:rsidRDefault="000A24AC" w:rsidP="00B02629">
      <w:pPr>
        <w:spacing w:after="0" w:line="240" w:lineRule="auto"/>
        <w:jc w:val="both"/>
        <w:rPr>
          <w:rFonts w:ascii="Arial" w:hAnsi="Arial" w:cs="Arial"/>
        </w:rPr>
      </w:pPr>
      <w:r w:rsidRPr="000A24AC">
        <w:rPr>
          <w:rFonts w:ascii="Arial" w:eastAsia="Times New Roman" w:hAnsi="Arial" w:cs="Arial"/>
          <w:color w:val="000000"/>
          <w:lang w:eastAsia="it-IT"/>
        </w:rPr>
        <w:t>Iron</w:t>
      </w:r>
      <w:r>
        <w:rPr>
          <w:rFonts w:ascii="Arial" w:eastAsia="Times New Roman" w:hAnsi="Arial" w:cs="Arial"/>
          <w:color w:val="000000"/>
          <w:lang w:eastAsia="it-IT"/>
        </w:rPr>
        <w:t>-</w:t>
      </w:r>
      <w:r w:rsidRPr="000A24AC">
        <w:rPr>
          <w:rFonts w:ascii="Arial" w:eastAsia="Times New Roman" w:hAnsi="Arial" w:cs="Arial"/>
          <w:color w:val="000000"/>
          <w:lang w:eastAsia="it-IT"/>
        </w:rPr>
        <w:t>sulfur (Fe</w:t>
      </w:r>
      <w:r>
        <w:rPr>
          <w:rFonts w:ascii="Arial" w:eastAsia="Times New Roman" w:hAnsi="Arial" w:cs="Arial"/>
          <w:color w:val="000000"/>
          <w:lang w:eastAsia="it-IT"/>
        </w:rPr>
        <w:t>-</w:t>
      </w:r>
      <w:r w:rsidRPr="000A24AC">
        <w:rPr>
          <w:rFonts w:ascii="Arial" w:eastAsia="Times New Roman" w:hAnsi="Arial" w:cs="Arial"/>
          <w:color w:val="000000"/>
          <w:lang w:eastAsia="it-IT"/>
        </w:rPr>
        <w:t xml:space="preserve">S) cluster biosynthesis in eukaryotic cells is carried out by specialized </w:t>
      </w:r>
      <w:r w:rsidR="00F40217">
        <w:rPr>
          <w:rFonts w:ascii="Arial" w:eastAsia="Times New Roman" w:hAnsi="Arial" w:cs="Arial"/>
          <w:color w:val="000000"/>
          <w:lang w:eastAsia="it-IT"/>
        </w:rPr>
        <w:t>protein systems</w:t>
      </w:r>
      <w:r w:rsidR="00C129A9">
        <w:rPr>
          <w:rFonts w:ascii="Arial" w:eastAsia="Times New Roman" w:hAnsi="Arial" w:cs="Arial"/>
          <w:color w:val="000000"/>
          <w:lang w:eastAsia="it-IT"/>
        </w:rPr>
        <w:t xml:space="preserve"> [1].</w:t>
      </w:r>
      <w:r w:rsidRPr="000A24AC">
        <w:rPr>
          <w:rFonts w:ascii="Arial" w:eastAsia="Times New Roman" w:hAnsi="Arial" w:cs="Arial"/>
          <w:color w:val="000000"/>
          <w:lang w:eastAsia="it-IT"/>
        </w:rPr>
        <w:t xml:space="preserve"> Among these, the ISC machinery is essential for mitochondrial </w:t>
      </w:r>
      <w:r w:rsidR="00F96EDB">
        <w:rPr>
          <w:rFonts w:ascii="Arial" w:eastAsia="Times New Roman" w:hAnsi="Arial" w:cs="Arial"/>
          <w:color w:val="000000"/>
          <w:lang w:eastAsia="it-IT"/>
        </w:rPr>
        <w:t>activity</w:t>
      </w:r>
      <w:r w:rsidRPr="000A24AC">
        <w:rPr>
          <w:rFonts w:ascii="Arial" w:eastAsia="Times New Roman" w:hAnsi="Arial" w:cs="Arial"/>
          <w:color w:val="000000"/>
          <w:lang w:eastAsia="it-IT"/>
        </w:rPr>
        <w:t>, and pathogenic mutations in its components cause severe human diseases</w:t>
      </w:r>
      <w:r w:rsidR="002527DE">
        <w:rPr>
          <w:rFonts w:ascii="Arial" w:eastAsia="Times New Roman" w:hAnsi="Arial" w:cs="Arial"/>
          <w:color w:val="000000"/>
          <w:lang w:eastAsia="it-IT"/>
        </w:rPr>
        <w:t xml:space="preserve">. </w:t>
      </w:r>
      <w:r w:rsidR="002527DE" w:rsidRPr="002527DE">
        <w:rPr>
          <w:rFonts w:ascii="Arial" w:eastAsia="Times New Roman" w:hAnsi="Arial" w:cs="Arial"/>
          <w:color w:val="000000"/>
          <w:lang w:eastAsia="it-IT"/>
        </w:rPr>
        <w:t>One such disorder</w:t>
      </w:r>
      <w:r w:rsidR="002527DE">
        <w:rPr>
          <w:rFonts w:ascii="Arial" w:eastAsia="Times New Roman" w:hAnsi="Arial" w:cs="Arial"/>
          <w:color w:val="000000"/>
          <w:lang w:eastAsia="it-IT"/>
        </w:rPr>
        <w:t xml:space="preserve"> is </w:t>
      </w:r>
      <w:r w:rsidR="00101AC6" w:rsidRPr="00E51B1A">
        <w:rPr>
          <w:rFonts w:ascii="Arial" w:hAnsi="Arial" w:cs="Arial"/>
        </w:rPr>
        <w:t>Congenital Sideroblastic anemia (SIDBA3)</w:t>
      </w:r>
      <w:r w:rsidR="00BA60E7">
        <w:rPr>
          <w:rFonts w:ascii="Arial" w:hAnsi="Arial" w:cs="Arial"/>
        </w:rPr>
        <w:t>,</w:t>
      </w:r>
      <w:r w:rsidR="00101AC6" w:rsidRPr="00E51B1A">
        <w:rPr>
          <w:rFonts w:ascii="Arial" w:hAnsi="Arial" w:cs="Arial"/>
        </w:rPr>
        <w:t xml:space="preserve"> </w:t>
      </w:r>
      <w:r w:rsidR="00A62505">
        <w:rPr>
          <w:rFonts w:ascii="Arial" w:hAnsi="Arial" w:cs="Arial"/>
        </w:rPr>
        <w:t>which is</w:t>
      </w:r>
      <w:r w:rsidR="00101AC6" w:rsidRPr="00E51B1A">
        <w:rPr>
          <w:rFonts w:ascii="Arial" w:hAnsi="Arial" w:cs="Arial"/>
        </w:rPr>
        <w:t xml:space="preserve"> </w:t>
      </w:r>
      <w:r w:rsidR="00A742D6" w:rsidRPr="00A742D6">
        <w:rPr>
          <w:rFonts w:ascii="Arial" w:hAnsi="Arial" w:cs="Arial"/>
        </w:rPr>
        <w:t xml:space="preserve">characterized </w:t>
      </w:r>
      <w:r w:rsidR="00101AC6" w:rsidRPr="00E51B1A">
        <w:rPr>
          <w:rFonts w:ascii="Arial" w:hAnsi="Arial" w:cs="Arial"/>
        </w:rPr>
        <w:t>by</w:t>
      </w:r>
      <w:r w:rsidR="00B02629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101AC6" w:rsidRPr="00E51B1A">
        <w:rPr>
          <w:rFonts w:ascii="Arial" w:hAnsi="Arial" w:cs="Arial"/>
        </w:rPr>
        <w:t xml:space="preserve">defective heme synthesis, iron </w:t>
      </w:r>
      <w:r w:rsidR="00E24484">
        <w:rPr>
          <w:rFonts w:ascii="Arial" w:hAnsi="Arial" w:cs="Arial"/>
        </w:rPr>
        <w:t>accumulation</w:t>
      </w:r>
      <w:r w:rsidR="00101AC6" w:rsidRPr="00E51B1A">
        <w:rPr>
          <w:rFonts w:ascii="Arial" w:hAnsi="Arial" w:cs="Arial"/>
        </w:rPr>
        <w:t>, and the presence of ringed sideroblasts in</w:t>
      </w:r>
      <w:r w:rsidR="00B02629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101AC6" w:rsidRPr="00E51B1A">
        <w:rPr>
          <w:rFonts w:ascii="Arial" w:hAnsi="Arial" w:cs="Arial"/>
        </w:rPr>
        <w:t xml:space="preserve">erythroid precursors </w:t>
      </w:r>
      <w:r w:rsidR="00E10864">
        <w:rPr>
          <w:rFonts w:ascii="Arial" w:hAnsi="Arial" w:cs="Arial"/>
        </w:rPr>
        <w:t>[</w:t>
      </w:r>
      <w:r w:rsidR="00BD2DB4">
        <w:rPr>
          <w:rFonts w:ascii="Arial" w:hAnsi="Arial" w:cs="Arial"/>
        </w:rPr>
        <w:t>2</w:t>
      </w:r>
      <w:r w:rsidR="00E10864">
        <w:rPr>
          <w:rFonts w:ascii="Arial" w:hAnsi="Arial" w:cs="Arial"/>
        </w:rPr>
        <w:t>]</w:t>
      </w:r>
      <w:r w:rsidR="00101AC6" w:rsidRPr="00E51B1A">
        <w:rPr>
          <w:rFonts w:ascii="Arial" w:hAnsi="Arial" w:cs="Arial"/>
        </w:rPr>
        <w:t xml:space="preserve">. </w:t>
      </w:r>
    </w:p>
    <w:p w14:paraId="38F73900" w14:textId="0AB80D19" w:rsidR="00F834B3" w:rsidRDefault="00101AC6" w:rsidP="00B02629">
      <w:pPr>
        <w:spacing w:after="0" w:line="240" w:lineRule="auto"/>
        <w:jc w:val="both"/>
        <w:rPr>
          <w:rFonts w:ascii="Arial" w:hAnsi="Arial" w:cs="Arial"/>
        </w:rPr>
      </w:pPr>
      <w:r w:rsidRPr="00E51B1A">
        <w:rPr>
          <w:rFonts w:ascii="Arial" w:hAnsi="Arial" w:cs="Arial"/>
        </w:rPr>
        <w:t xml:space="preserve">Missense mutations in </w:t>
      </w:r>
      <w:r>
        <w:rPr>
          <w:rFonts w:ascii="Arial" w:hAnsi="Arial" w:cs="Arial"/>
        </w:rPr>
        <w:t xml:space="preserve">human </w:t>
      </w:r>
      <w:r w:rsidRPr="00E51B1A">
        <w:rPr>
          <w:rFonts w:ascii="Arial" w:hAnsi="Arial" w:cs="Arial"/>
        </w:rPr>
        <w:t>glutaredoxin 5 (GLRX5), a mitochondrial monothiol</w:t>
      </w:r>
      <w:r>
        <w:rPr>
          <w:rFonts w:ascii="Arial" w:hAnsi="Arial" w:cs="Arial"/>
        </w:rPr>
        <w:t xml:space="preserve"> </w:t>
      </w:r>
      <w:r w:rsidRPr="00E51B1A">
        <w:rPr>
          <w:rFonts w:ascii="Arial" w:hAnsi="Arial" w:cs="Arial"/>
        </w:rPr>
        <w:t xml:space="preserve">glutaredoxin, have been linked to SIDBA3 </w:t>
      </w:r>
      <w:r w:rsidR="00E10864">
        <w:rPr>
          <w:rFonts w:ascii="Arial" w:hAnsi="Arial" w:cs="Arial"/>
        </w:rPr>
        <w:t>[</w:t>
      </w:r>
      <w:r w:rsidR="00BD2DB4">
        <w:rPr>
          <w:rFonts w:ascii="Arial" w:hAnsi="Arial" w:cs="Arial"/>
        </w:rPr>
        <w:t>3</w:t>
      </w:r>
      <w:r w:rsidRPr="00E51B1A">
        <w:rPr>
          <w:rFonts w:ascii="Arial" w:hAnsi="Arial" w:cs="Arial"/>
        </w:rPr>
        <w:t>,</w:t>
      </w:r>
      <w:r w:rsidR="00BD2DB4">
        <w:rPr>
          <w:rFonts w:ascii="Arial" w:hAnsi="Arial" w:cs="Arial"/>
        </w:rPr>
        <w:t>4</w:t>
      </w:r>
      <w:r w:rsidR="00E10864">
        <w:rPr>
          <w:rFonts w:ascii="Arial" w:hAnsi="Arial" w:cs="Arial"/>
        </w:rPr>
        <w:t>]</w:t>
      </w:r>
      <w:r w:rsidRPr="00E51B1A">
        <w:rPr>
          <w:rFonts w:ascii="Arial" w:hAnsi="Arial" w:cs="Arial"/>
        </w:rPr>
        <w:t xml:space="preserve"> and are known to impair the biogenesis of Fe-S clusters, </w:t>
      </w:r>
      <w:r w:rsidR="00D0641A">
        <w:rPr>
          <w:rFonts w:ascii="Arial" w:hAnsi="Arial" w:cs="Arial"/>
        </w:rPr>
        <w:t>thereby affecting</w:t>
      </w:r>
      <w:r w:rsidRPr="00E51B1A">
        <w:rPr>
          <w:rFonts w:ascii="Arial" w:hAnsi="Arial" w:cs="Arial"/>
        </w:rPr>
        <w:t xml:space="preserve"> enzymes involved in mitochondrial</w:t>
      </w:r>
      <w:r w:rsidR="00B02629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Pr="00E51B1A">
        <w:rPr>
          <w:rFonts w:ascii="Arial" w:hAnsi="Arial" w:cs="Arial"/>
        </w:rPr>
        <w:t xml:space="preserve">respiration, DNA repair, and </w:t>
      </w:r>
      <w:r w:rsidRPr="0017075D">
        <w:rPr>
          <w:rFonts w:ascii="Arial" w:hAnsi="Arial" w:cs="Arial"/>
        </w:rPr>
        <w:t xml:space="preserve">heme synthesis </w:t>
      </w:r>
      <w:r w:rsidR="00E10864" w:rsidRPr="0017075D">
        <w:rPr>
          <w:rFonts w:ascii="Arial" w:hAnsi="Arial" w:cs="Arial"/>
        </w:rPr>
        <w:t>[</w:t>
      </w:r>
      <w:r w:rsidR="00BD2DB4" w:rsidRPr="0017075D">
        <w:rPr>
          <w:rFonts w:ascii="Arial" w:hAnsi="Arial" w:cs="Arial"/>
        </w:rPr>
        <w:t>5</w:t>
      </w:r>
      <w:r w:rsidR="00E10864" w:rsidRPr="0017075D">
        <w:rPr>
          <w:rFonts w:ascii="Arial" w:hAnsi="Arial" w:cs="Arial"/>
        </w:rPr>
        <w:t>]</w:t>
      </w:r>
      <w:r w:rsidRPr="0017075D">
        <w:rPr>
          <w:rFonts w:ascii="Arial" w:hAnsi="Arial" w:cs="Arial"/>
        </w:rPr>
        <w:t>.</w:t>
      </w:r>
      <w:r w:rsidRPr="00E51B1A">
        <w:rPr>
          <w:rFonts w:ascii="Arial" w:hAnsi="Arial" w:cs="Arial"/>
        </w:rPr>
        <w:t xml:space="preserve"> GLRX5 coordinates a [2Fe-2S] cluster either </w:t>
      </w:r>
      <w:r w:rsidR="003D758C">
        <w:rPr>
          <w:rFonts w:ascii="Arial" w:hAnsi="Arial" w:cs="Arial"/>
        </w:rPr>
        <w:t xml:space="preserve">as </w:t>
      </w:r>
      <w:r w:rsidRPr="00E51B1A">
        <w:rPr>
          <w:rFonts w:ascii="Arial" w:hAnsi="Arial" w:cs="Arial"/>
        </w:rPr>
        <w:t xml:space="preserve">a homodimer or </w:t>
      </w:r>
      <w:r w:rsidR="003D758C">
        <w:rPr>
          <w:rFonts w:ascii="Arial" w:hAnsi="Arial" w:cs="Arial"/>
        </w:rPr>
        <w:t xml:space="preserve">as </w:t>
      </w:r>
      <w:r w:rsidRPr="00E51B1A">
        <w:rPr>
          <w:rFonts w:ascii="Arial" w:hAnsi="Arial" w:cs="Arial"/>
        </w:rPr>
        <w:t xml:space="preserve">a heterodimer with BOLA3, in which the cluster </w:t>
      </w:r>
      <w:r w:rsidR="00395D0A">
        <w:rPr>
          <w:rFonts w:ascii="Arial" w:hAnsi="Arial" w:cs="Arial"/>
        </w:rPr>
        <w:t>bridges</w:t>
      </w:r>
      <w:r w:rsidRPr="00E51B1A">
        <w:rPr>
          <w:rFonts w:ascii="Arial" w:hAnsi="Arial" w:cs="Arial"/>
        </w:rPr>
        <w:t xml:space="preserve"> the two monomers </w:t>
      </w:r>
      <w:r w:rsidR="00E10864">
        <w:rPr>
          <w:rFonts w:ascii="Arial" w:hAnsi="Arial" w:cs="Arial"/>
        </w:rPr>
        <w:t>[</w:t>
      </w:r>
      <w:r w:rsidR="00BD2DB4" w:rsidRPr="00426999">
        <w:rPr>
          <w:rFonts w:ascii="Arial" w:hAnsi="Arial" w:cs="Arial"/>
        </w:rPr>
        <w:t>6</w:t>
      </w:r>
      <w:r w:rsidRPr="00426999">
        <w:rPr>
          <w:rFonts w:ascii="Arial" w:hAnsi="Arial" w:cs="Arial"/>
        </w:rPr>
        <w:t>,</w:t>
      </w:r>
      <w:r w:rsidR="00BD2DB4" w:rsidRPr="00426999">
        <w:rPr>
          <w:rFonts w:ascii="Arial" w:hAnsi="Arial" w:cs="Arial"/>
        </w:rPr>
        <w:t>7</w:t>
      </w:r>
      <w:r w:rsidR="00E10864" w:rsidRPr="00426999">
        <w:rPr>
          <w:rFonts w:ascii="Arial" w:hAnsi="Arial" w:cs="Arial"/>
        </w:rPr>
        <w:t>]</w:t>
      </w:r>
      <w:r w:rsidRPr="00426999">
        <w:rPr>
          <w:rFonts w:ascii="Arial" w:hAnsi="Arial" w:cs="Arial"/>
        </w:rPr>
        <w:t xml:space="preserve">. The holo GLRX5-BOLA3 </w:t>
      </w:r>
      <w:r w:rsidR="00927F96" w:rsidRPr="00426999">
        <w:rPr>
          <w:rFonts w:ascii="Arial" w:hAnsi="Arial" w:cs="Arial"/>
        </w:rPr>
        <w:t>complex</w:t>
      </w:r>
      <w:r w:rsidRPr="00426999">
        <w:rPr>
          <w:rFonts w:ascii="Arial" w:hAnsi="Arial" w:cs="Arial"/>
        </w:rPr>
        <w:t xml:space="preserve"> can transfer</w:t>
      </w:r>
      <w:r w:rsidR="0083520E" w:rsidRPr="00426999">
        <w:rPr>
          <w:rFonts w:ascii="Arial" w:hAnsi="Arial" w:cs="Arial"/>
        </w:rPr>
        <w:t xml:space="preserve"> in vitro</w:t>
      </w:r>
      <w:r w:rsidRPr="00426999">
        <w:rPr>
          <w:rFonts w:ascii="Arial" w:hAnsi="Arial" w:cs="Arial"/>
        </w:rPr>
        <w:t xml:space="preserve"> its [2Fe-2S] cluster to apo NFU1, promoting the assembly of a [4Fe-4S] cluster </w:t>
      </w:r>
      <w:r w:rsidR="00E10864" w:rsidRPr="00426999">
        <w:rPr>
          <w:rFonts w:ascii="Arial" w:hAnsi="Arial" w:cs="Arial"/>
        </w:rPr>
        <w:t>[</w:t>
      </w:r>
      <w:r w:rsidR="00BD2DB4" w:rsidRPr="00426999">
        <w:rPr>
          <w:rFonts w:ascii="Arial" w:hAnsi="Arial" w:cs="Arial"/>
        </w:rPr>
        <w:t>8</w:t>
      </w:r>
      <w:r w:rsidR="00E10864" w:rsidRPr="00426999">
        <w:rPr>
          <w:rFonts w:ascii="Arial" w:hAnsi="Arial" w:cs="Arial"/>
        </w:rPr>
        <w:t>]</w:t>
      </w:r>
      <w:r w:rsidR="003A50FC" w:rsidRPr="00426999">
        <w:rPr>
          <w:rFonts w:ascii="Arial" w:hAnsi="Arial" w:cs="Arial"/>
        </w:rPr>
        <w:t>. Once loaded, holo NFU1 in turn</w:t>
      </w:r>
      <w:r w:rsidR="00D87708" w:rsidRPr="00426999">
        <w:rPr>
          <w:rFonts w:ascii="Arial" w:hAnsi="Arial" w:cs="Arial"/>
        </w:rPr>
        <w:t xml:space="preserve"> supports </w:t>
      </w:r>
      <w:r w:rsidRPr="00426999">
        <w:rPr>
          <w:rFonts w:ascii="Arial" w:hAnsi="Arial" w:cs="Arial"/>
        </w:rPr>
        <w:t xml:space="preserve">the maturation of </w:t>
      </w:r>
      <w:r w:rsidR="00C04EB6" w:rsidRPr="00426999">
        <w:rPr>
          <w:rFonts w:ascii="Arial" w:hAnsi="Arial" w:cs="Arial"/>
        </w:rPr>
        <w:t>[4Fe-4S] proteins</w:t>
      </w:r>
      <w:r w:rsidRPr="00426999">
        <w:rPr>
          <w:rFonts w:ascii="Arial" w:hAnsi="Arial" w:cs="Arial"/>
        </w:rPr>
        <w:t>, including Complex II of</w:t>
      </w:r>
      <w:r w:rsidR="00B02629" w:rsidRPr="00426999">
        <w:rPr>
          <w:rFonts w:ascii="Arial" w:hAnsi="Arial" w:cs="Arial"/>
        </w:rPr>
        <w:t xml:space="preserve"> </w:t>
      </w:r>
      <w:r w:rsidRPr="00426999">
        <w:rPr>
          <w:rFonts w:ascii="Arial" w:hAnsi="Arial" w:cs="Arial"/>
        </w:rPr>
        <w:t>the respiratory chain, mitochondrial aconitase (ACO2), and</w:t>
      </w:r>
      <w:r w:rsidR="00B02629" w:rsidRPr="00426999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Pr="00426999">
        <w:rPr>
          <w:rFonts w:ascii="Arial" w:hAnsi="Arial" w:cs="Arial"/>
        </w:rPr>
        <w:t xml:space="preserve">lipoic acid synthase (LIAS) </w:t>
      </w:r>
      <w:r w:rsidR="00E10864" w:rsidRPr="00426999">
        <w:rPr>
          <w:rFonts w:ascii="Arial" w:hAnsi="Arial" w:cs="Arial"/>
        </w:rPr>
        <w:t>[</w:t>
      </w:r>
      <w:r w:rsidRPr="00426999">
        <w:rPr>
          <w:rFonts w:ascii="Arial" w:hAnsi="Arial" w:cs="Arial"/>
        </w:rPr>
        <w:t>9</w:t>
      </w:r>
      <w:r w:rsidR="00BD2DB4" w:rsidRPr="00426999">
        <w:rPr>
          <w:rFonts w:ascii="Arial" w:hAnsi="Arial" w:cs="Arial"/>
        </w:rPr>
        <w:t>,</w:t>
      </w:r>
      <w:r w:rsidRPr="00426999">
        <w:rPr>
          <w:rFonts w:ascii="Arial" w:hAnsi="Arial" w:cs="Arial"/>
        </w:rPr>
        <w:t>10</w:t>
      </w:r>
      <w:r w:rsidR="00E10864" w:rsidRPr="00426999">
        <w:rPr>
          <w:rFonts w:ascii="Arial" w:hAnsi="Arial" w:cs="Arial"/>
        </w:rPr>
        <w:t>]</w:t>
      </w:r>
      <w:r w:rsidRPr="0042699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25F68390" w14:textId="77777777" w:rsidR="00CF1EAD" w:rsidRDefault="00101AC6" w:rsidP="00B02629">
      <w:pPr>
        <w:spacing w:after="0" w:line="240" w:lineRule="auto"/>
        <w:jc w:val="both"/>
        <w:rPr>
          <w:rFonts w:ascii="Arial" w:hAnsi="Arial" w:cs="Arial"/>
        </w:rPr>
      </w:pPr>
      <w:r w:rsidRPr="00E51B1A">
        <w:rPr>
          <w:rFonts w:ascii="Arial" w:hAnsi="Arial" w:cs="Arial"/>
        </w:rPr>
        <w:t>A compound heterozygous mutation in GLRX5 (p.Cys67Tyr and</w:t>
      </w:r>
      <w:r w:rsidR="00B02629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Pr="00E51B1A">
        <w:rPr>
          <w:rFonts w:ascii="Arial" w:hAnsi="Arial" w:cs="Arial"/>
        </w:rPr>
        <w:t xml:space="preserve">p.Met128Lys) was identified in a </w:t>
      </w:r>
      <w:r w:rsidR="00B005EC">
        <w:rPr>
          <w:rFonts w:ascii="Arial" w:hAnsi="Arial" w:cs="Arial"/>
        </w:rPr>
        <w:t>young</w:t>
      </w:r>
      <w:r w:rsidRPr="00E51B1A">
        <w:rPr>
          <w:rFonts w:ascii="Arial" w:hAnsi="Arial" w:cs="Arial"/>
        </w:rPr>
        <w:t xml:space="preserve"> female patient with SIDBA3 </w:t>
      </w:r>
      <w:r w:rsidR="00E10864">
        <w:rPr>
          <w:rFonts w:ascii="Arial" w:hAnsi="Arial" w:cs="Arial"/>
        </w:rPr>
        <w:t>[</w:t>
      </w:r>
      <w:r w:rsidR="00BD2DB4">
        <w:rPr>
          <w:rFonts w:ascii="Arial" w:hAnsi="Arial" w:cs="Arial"/>
        </w:rPr>
        <w:t>3</w:t>
      </w:r>
      <w:r w:rsidR="00E10864">
        <w:rPr>
          <w:rFonts w:ascii="Arial" w:hAnsi="Arial" w:cs="Arial"/>
        </w:rPr>
        <w:t>]</w:t>
      </w:r>
      <w:r w:rsidRPr="00E51B1A">
        <w:rPr>
          <w:rFonts w:ascii="Arial" w:hAnsi="Arial" w:cs="Arial"/>
        </w:rPr>
        <w:t>. Studies in patient-derived</w:t>
      </w:r>
      <w:r>
        <w:rPr>
          <w:rFonts w:ascii="Arial" w:hAnsi="Arial" w:cs="Arial"/>
        </w:rPr>
        <w:t xml:space="preserve"> </w:t>
      </w:r>
      <w:r w:rsidRPr="00E51B1A">
        <w:rPr>
          <w:rFonts w:ascii="Arial" w:hAnsi="Arial" w:cs="Arial"/>
        </w:rPr>
        <w:t>lymphoblasts showed reduced activity of</w:t>
      </w:r>
      <w:r w:rsidR="00B35EC4">
        <w:rPr>
          <w:rFonts w:ascii="Arial" w:hAnsi="Arial" w:cs="Arial"/>
        </w:rPr>
        <w:t xml:space="preserve"> </w:t>
      </w:r>
      <w:r w:rsidR="00B35EC4" w:rsidRPr="00B35EC4">
        <w:rPr>
          <w:rFonts w:ascii="Arial" w:hAnsi="Arial" w:cs="Arial"/>
        </w:rPr>
        <w:t>Fe-S- and heme-dependent enzymes</w:t>
      </w:r>
      <w:r w:rsidR="00B35EC4">
        <w:rPr>
          <w:rFonts w:ascii="Arial" w:hAnsi="Arial" w:cs="Arial"/>
        </w:rPr>
        <w:t xml:space="preserve">, </w:t>
      </w:r>
      <w:r w:rsidRPr="00E51B1A">
        <w:rPr>
          <w:rFonts w:ascii="Arial" w:hAnsi="Arial" w:cs="Arial"/>
        </w:rPr>
        <w:t xml:space="preserve">increased oxidative stress, and </w:t>
      </w:r>
      <w:r w:rsidR="007151E1" w:rsidRPr="007151E1">
        <w:rPr>
          <w:rFonts w:ascii="Arial" w:hAnsi="Arial" w:cs="Arial"/>
        </w:rPr>
        <w:t>disrupted</w:t>
      </w:r>
      <w:r w:rsidR="007151E1">
        <w:rPr>
          <w:rFonts w:ascii="Arial" w:hAnsi="Arial" w:cs="Arial"/>
        </w:rPr>
        <w:t xml:space="preserve"> </w:t>
      </w:r>
      <w:r w:rsidRPr="00E51B1A">
        <w:rPr>
          <w:rFonts w:ascii="Arial" w:hAnsi="Arial" w:cs="Arial"/>
        </w:rPr>
        <w:t>iron homeostasis.</w:t>
      </w:r>
      <w:r w:rsidR="007F1C36">
        <w:rPr>
          <w:rFonts w:ascii="Arial" w:hAnsi="Arial" w:cs="Arial"/>
        </w:rPr>
        <w:t xml:space="preserve"> </w:t>
      </w:r>
      <w:r w:rsidRPr="00E51B1A">
        <w:rPr>
          <w:rFonts w:ascii="Arial" w:hAnsi="Arial" w:cs="Arial"/>
        </w:rPr>
        <w:t xml:space="preserve">While the Cys67Tyr mutation directly </w:t>
      </w:r>
      <w:r w:rsidR="00B14FA1">
        <w:rPr>
          <w:rFonts w:ascii="Arial" w:hAnsi="Arial" w:cs="Arial"/>
        </w:rPr>
        <w:t>disrupts [2Fe-2S]</w:t>
      </w:r>
      <w:r w:rsidRPr="00E51B1A">
        <w:rPr>
          <w:rFonts w:ascii="Arial" w:hAnsi="Arial" w:cs="Arial"/>
        </w:rPr>
        <w:t xml:space="preserve"> coordination in both GLRX5 homo</w:t>
      </w:r>
      <w:r w:rsidR="001F48FA">
        <w:rPr>
          <w:rFonts w:ascii="Arial" w:hAnsi="Arial" w:cs="Arial"/>
        </w:rPr>
        <w:t>-</w:t>
      </w:r>
      <w:r w:rsidRPr="00E51B1A">
        <w:rPr>
          <w:rFonts w:ascii="Arial" w:hAnsi="Arial" w:cs="Arial"/>
        </w:rPr>
        <w:t xml:space="preserve"> and</w:t>
      </w:r>
      <w:r w:rsidR="001F48FA">
        <w:rPr>
          <w:rFonts w:ascii="Arial" w:hAnsi="Arial" w:cs="Arial"/>
        </w:rPr>
        <w:t xml:space="preserve"> </w:t>
      </w:r>
      <w:r w:rsidRPr="00E51B1A">
        <w:rPr>
          <w:rFonts w:ascii="Arial" w:hAnsi="Arial" w:cs="Arial"/>
        </w:rPr>
        <w:t>heterocomplex</w:t>
      </w:r>
      <w:r w:rsidR="001F48FA">
        <w:rPr>
          <w:rFonts w:ascii="Arial" w:hAnsi="Arial" w:cs="Arial"/>
        </w:rPr>
        <w:t>es</w:t>
      </w:r>
      <w:r w:rsidRPr="00E51B1A">
        <w:rPr>
          <w:rFonts w:ascii="Arial" w:hAnsi="Arial" w:cs="Arial"/>
        </w:rPr>
        <w:t>, the</w:t>
      </w:r>
      <w:r w:rsidR="001F48FA">
        <w:rPr>
          <w:rFonts w:ascii="Arial" w:hAnsi="Arial" w:cs="Arial"/>
        </w:rPr>
        <w:t xml:space="preserve"> molecular</w:t>
      </w:r>
      <w:r w:rsidRPr="00E51B1A">
        <w:rPr>
          <w:rFonts w:ascii="Arial" w:hAnsi="Arial" w:cs="Arial"/>
        </w:rPr>
        <w:t xml:space="preserve"> impact of Met128Lys remains unclear.</w:t>
      </w:r>
      <w:r>
        <w:rPr>
          <w:rFonts w:ascii="Arial" w:hAnsi="Arial" w:cs="Arial"/>
        </w:rPr>
        <w:t xml:space="preserve"> </w:t>
      </w:r>
      <w:r w:rsidRPr="00E51B1A">
        <w:rPr>
          <w:rFonts w:ascii="Arial" w:hAnsi="Arial" w:cs="Arial"/>
        </w:rPr>
        <w:t xml:space="preserve">In vitro characterization of M128K is </w:t>
      </w:r>
      <w:r w:rsidR="001F48FA">
        <w:rPr>
          <w:rFonts w:ascii="Arial" w:hAnsi="Arial" w:cs="Arial"/>
        </w:rPr>
        <w:t>therefore essential</w:t>
      </w:r>
      <w:r w:rsidRPr="00E51B1A">
        <w:rPr>
          <w:rFonts w:ascii="Arial" w:hAnsi="Arial" w:cs="Arial"/>
        </w:rPr>
        <w:t xml:space="preserve"> to </w:t>
      </w:r>
      <w:r w:rsidR="001F48FA">
        <w:rPr>
          <w:rFonts w:ascii="Arial" w:hAnsi="Arial" w:cs="Arial"/>
        </w:rPr>
        <w:t>determine</w:t>
      </w:r>
      <w:r w:rsidRPr="00E51B1A">
        <w:rPr>
          <w:rFonts w:ascii="Arial" w:hAnsi="Arial" w:cs="Arial"/>
        </w:rPr>
        <w:t xml:space="preserve"> whether the mutation affects folding, cluster binding,</w:t>
      </w:r>
      <w:r w:rsidR="007F1C36">
        <w:rPr>
          <w:rFonts w:ascii="Arial" w:hAnsi="Arial" w:cs="Arial"/>
        </w:rPr>
        <w:t xml:space="preserve"> </w:t>
      </w:r>
      <w:r w:rsidR="005107C6">
        <w:rPr>
          <w:rFonts w:ascii="Arial" w:hAnsi="Arial" w:cs="Arial"/>
        </w:rPr>
        <w:t>interaction</w:t>
      </w:r>
      <w:r w:rsidRPr="00E51B1A">
        <w:rPr>
          <w:rFonts w:ascii="Arial" w:hAnsi="Arial" w:cs="Arial"/>
        </w:rPr>
        <w:t xml:space="preserve"> with BOLA3, or cluster transfer to NFU1. </w:t>
      </w:r>
    </w:p>
    <w:p w14:paraId="4FE22C18" w14:textId="028AE818" w:rsidR="004F3465" w:rsidRPr="00B02629" w:rsidRDefault="00101AC6" w:rsidP="00B02629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  <w:r w:rsidRPr="00E51B1A">
        <w:rPr>
          <w:rFonts w:ascii="Arial" w:hAnsi="Arial" w:cs="Arial"/>
        </w:rPr>
        <w:t>By combining structural and functional analyses</w:t>
      </w:r>
      <w:r w:rsidR="00D53444">
        <w:rPr>
          <w:rFonts w:ascii="Arial" w:hAnsi="Arial" w:cs="Arial"/>
        </w:rPr>
        <w:t>, this study aims to provide</w:t>
      </w:r>
      <w:r w:rsidRPr="00E51B1A">
        <w:rPr>
          <w:rFonts w:ascii="Arial" w:hAnsi="Arial" w:cs="Arial"/>
        </w:rPr>
        <w:t xml:space="preserve"> a molecular explanation for the patient phenotype, </w:t>
      </w:r>
      <w:r w:rsidR="00471318">
        <w:rPr>
          <w:rFonts w:ascii="Arial" w:hAnsi="Arial" w:cs="Arial"/>
        </w:rPr>
        <w:t>bridging</w:t>
      </w:r>
      <w:r w:rsidRPr="00E51B1A">
        <w:rPr>
          <w:rFonts w:ascii="Arial" w:hAnsi="Arial" w:cs="Arial"/>
        </w:rPr>
        <w:t xml:space="preserve"> existing clinical observations</w:t>
      </w:r>
      <w:r w:rsidR="00471318">
        <w:rPr>
          <w:rFonts w:ascii="Arial" w:hAnsi="Arial" w:cs="Arial"/>
        </w:rPr>
        <w:t xml:space="preserve"> with </w:t>
      </w:r>
      <w:r w:rsidR="005773CE">
        <w:rPr>
          <w:rFonts w:ascii="Arial" w:hAnsi="Arial" w:cs="Arial"/>
        </w:rPr>
        <w:t xml:space="preserve">mechanistic insights at the molecular level. </w:t>
      </w:r>
    </w:p>
    <w:p w14:paraId="4FE22C1A" w14:textId="77777777" w:rsidR="00677BB1" w:rsidRDefault="00677BB1" w:rsidP="00677BB1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4FE22C1C" w14:textId="77777777" w:rsidR="00866CCB" w:rsidRDefault="00866CCB" w:rsidP="00866C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F5D798C" w14:textId="6913A4BF" w:rsidR="00E10864" w:rsidRDefault="00E10864" w:rsidP="00E1086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</w:t>
      </w:r>
      <w:r w:rsidR="00BD2DB4">
        <w:rPr>
          <w:rFonts w:ascii="Arial" w:eastAsia="Times New Roman" w:hAnsi="Arial" w:cs="Arial"/>
          <w:sz w:val="20"/>
          <w:szCs w:val="20"/>
          <w:lang w:val="it-IT" w:eastAsia="it-IT"/>
        </w:rPr>
        <w:t>1</w:t>
      </w: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] Netz DJA, Mascarenhas J, Stehling O, Pierik AJ, Lill R. 2014. Trends Cell Biol. 24(5):303-312.</w:t>
      </w:r>
    </w:p>
    <w:p w14:paraId="06600742" w14:textId="21B384ED" w:rsidR="00E10864" w:rsidRPr="00E10864" w:rsidRDefault="00E10864" w:rsidP="00E1086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</w:t>
      </w:r>
      <w:r w:rsidR="00BD2DB4">
        <w:rPr>
          <w:rFonts w:ascii="Arial" w:eastAsia="Times New Roman" w:hAnsi="Arial" w:cs="Arial"/>
          <w:sz w:val="20"/>
          <w:szCs w:val="20"/>
          <w:lang w:val="it-IT" w:eastAsia="it-IT"/>
        </w:rPr>
        <w:t>2</w:t>
      </w: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] Camaschella C. 2008. Br J Haematol. 143(1):27-38.</w:t>
      </w:r>
    </w:p>
    <w:p w14:paraId="700CEA97" w14:textId="7C55AC37" w:rsidR="00E10864" w:rsidRDefault="00E10864" w:rsidP="00E1086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</w:t>
      </w:r>
      <w:r w:rsidR="00BD2DB4">
        <w:rPr>
          <w:rFonts w:ascii="Arial" w:eastAsia="Times New Roman" w:hAnsi="Arial" w:cs="Arial"/>
          <w:sz w:val="20"/>
          <w:szCs w:val="20"/>
          <w:lang w:val="it-IT" w:eastAsia="it-IT"/>
        </w:rPr>
        <w:t>3</w:t>
      </w: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] Daher R, Mansouri A, Martelli A, Bayart S, Manceau H, Callebaut I, Moulouel B, Gouya L, Puy H, Kannengiesser C, Karim Z. 2019. Mol Genet Metab. 128:342-351.</w:t>
      </w:r>
    </w:p>
    <w:p w14:paraId="26104F43" w14:textId="4D216CE2" w:rsidR="00E10864" w:rsidRDefault="00E10864" w:rsidP="00E1086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</w:t>
      </w:r>
      <w:r w:rsidR="00BD2DB4">
        <w:rPr>
          <w:rFonts w:ascii="Arial" w:eastAsia="Times New Roman" w:hAnsi="Arial" w:cs="Arial"/>
          <w:sz w:val="20"/>
          <w:szCs w:val="20"/>
          <w:lang w:val="it-IT" w:eastAsia="it-IT"/>
        </w:rPr>
        <w:t>4</w:t>
      </w: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] Liu G, Guo S, Anderson GJ, Camaschella C, Han B, Nie G. 2014. Blood. 124(18):2750-2751.</w:t>
      </w:r>
    </w:p>
    <w:p w14:paraId="1204BDE5" w14:textId="7B66440F" w:rsidR="00E10864" w:rsidRPr="00E10864" w:rsidRDefault="00E10864" w:rsidP="00E1086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</w:t>
      </w:r>
      <w:r w:rsidR="00BD2DB4">
        <w:rPr>
          <w:rFonts w:ascii="Arial" w:eastAsia="Times New Roman" w:hAnsi="Arial" w:cs="Arial"/>
          <w:sz w:val="20"/>
          <w:szCs w:val="20"/>
          <w:lang w:val="it-IT" w:eastAsia="it-IT"/>
        </w:rPr>
        <w:t>5</w:t>
      </w: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] Rouault TA. 2015. Nat Rev Mol Cell Biol. 16(1):45-55.</w:t>
      </w:r>
    </w:p>
    <w:p w14:paraId="3A909113" w14:textId="47A963D6" w:rsidR="00E10864" w:rsidRDefault="00E10864" w:rsidP="00E1086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</w:t>
      </w:r>
      <w:r w:rsidR="00BD2DB4">
        <w:rPr>
          <w:rFonts w:ascii="Arial" w:eastAsia="Times New Roman" w:hAnsi="Arial" w:cs="Arial"/>
          <w:sz w:val="20"/>
          <w:szCs w:val="20"/>
          <w:lang w:val="it-IT" w:eastAsia="it-IT"/>
        </w:rPr>
        <w:t>6</w:t>
      </w: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 xml:space="preserve">] Uzarska MA, Nasta V, Weiler BD, Spantgar F, Ciofi Baffoni S, Saviello MR, Gonnelli L, Mühlenhoff U, Banci L, Lill R. 2016. </w:t>
      </w:r>
      <w:r w:rsidR="00D86FCD">
        <w:rPr>
          <w:rFonts w:ascii="Arial" w:eastAsia="Times New Roman" w:hAnsi="Arial" w:cs="Arial"/>
          <w:sz w:val="20"/>
          <w:szCs w:val="20"/>
          <w:lang w:val="it-IT" w:eastAsia="it-IT"/>
        </w:rPr>
        <w:t>El</w:t>
      </w: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ife. 5:e16673.</w:t>
      </w:r>
    </w:p>
    <w:p w14:paraId="50461CE4" w14:textId="1C49936A" w:rsidR="00E10864" w:rsidRDefault="00E10864" w:rsidP="00E1086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</w:t>
      </w:r>
      <w:r w:rsidR="00BD2DB4">
        <w:rPr>
          <w:rFonts w:ascii="Arial" w:eastAsia="Times New Roman" w:hAnsi="Arial" w:cs="Arial"/>
          <w:sz w:val="20"/>
          <w:szCs w:val="20"/>
          <w:lang w:val="it-IT" w:eastAsia="it-IT"/>
        </w:rPr>
        <w:t>7</w:t>
      </w: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] Nasta V, Giachetti A, Ciofi Baffoni S, Banci L. 2017. Biochim Biophys Acta. 1861:2119-2131.</w:t>
      </w:r>
    </w:p>
    <w:p w14:paraId="77AE2890" w14:textId="2B2E8BBB" w:rsidR="00E10864" w:rsidRDefault="00E10864" w:rsidP="00E1086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</w:t>
      </w:r>
      <w:r w:rsidR="00BD2DB4">
        <w:rPr>
          <w:rFonts w:ascii="Arial" w:eastAsia="Times New Roman" w:hAnsi="Arial" w:cs="Arial"/>
          <w:sz w:val="20"/>
          <w:szCs w:val="20"/>
          <w:lang w:val="it-IT" w:eastAsia="it-IT"/>
        </w:rPr>
        <w:t>8</w:t>
      </w: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] Nasta V, Suraci D, Gourdoupis S, Ciofi Baffoni S, Banci L. 2020. FEBS J. 287(11):2312-2327.</w:t>
      </w:r>
    </w:p>
    <w:p w14:paraId="78E90ECF" w14:textId="77777777" w:rsidR="00E10864" w:rsidRPr="00E10864" w:rsidRDefault="00E10864" w:rsidP="00E1086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[9] Cameron JM, Janer A, Levandovskiy V, Mackay N, Rouault TA, Tong WH, Ogilvie I, Shoubridge EA, Robinson BH. 2011. Am J Hum Genet. 89(4):486-495.</w:t>
      </w:r>
    </w:p>
    <w:p w14:paraId="4FE22C22" w14:textId="512FBC18" w:rsidR="00866CCB" w:rsidRPr="009646EF" w:rsidRDefault="00E10864" w:rsidP="009646E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it-IT" w:eastAsia="it-IT"/>
        </w:rPr>
      </w:pPr>
      <w:r w:rsidRPr="00E10864">
        <w:rPr>
          <w:rFonts w:ascii="Arial" w:eastAsia="Times New Roman" w:hAnsi="Arial" w:cs="Arial"/>
          <w:sz w:val="20"/>
          <w:szCs w:val="20"/>
          <w:lang w:val="it-IT" w:eastAsia="it-IT"/>
        </w:rPr>
        <w:t>[10] Navarro-Sastre A, Tort F, Stehling O, Uzarska MA, Arranz JA, Del Toro M, Labayru MT, Landa J, Font A, Garcia-Villoria J, Merinero B, Ugarte M, Gutierrez-Solana LG, Campistol J, Garcia-Cazorla A, Vaquerizo J, Riudor E, Briones P, Elpeleg O, Ribes A, Lill R. 2011. Am J Hum Genet. 89(5):656-667.</w:t>
      </w:r>
    </w:p>
    <w:p w14:paraId="4FE22C23" w14:textId="77777777" w:rsidR="006C1F1D" w:rsidRPr="00866CCB" w:rsidRDefault="006C1F1D" w:rsidP="00866CC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6C1F1D" w:rsidRPr="00866CCB" w:rsidSect="00677BB1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37BA0" w14:textId="77777777" w:rsidR="00FA2B44" w:rsidRDefault="00FA2B44" w:rsidP="00866CCB">
      <w:pPr>
        <w:spacing w:after="0" w:line="240" w:lineRule="auto"/>
      </w:pPr>
      <w:r>
        <w:separator/>
      </w:r>
    </w:p>
  </w:endnote>
  <w:endnote w:type="continuationSeparator" w:id="0">
    <w:p w14:paraId="06C54747" w14:textId="77777777" w:rsidR="00FA2B44" w:rsidRDefault="00FA2B44" w:rsidP="0086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2C2A" w14:textId="77777777" w:rsidR="004F3465" w:rsidRPr="00276D3D" w:rsidRDefault="004F3465" w:rsidP="004F3465">
    <w:pPr>
      <w:pStyle w:val="Pidipagina"/>
      <w:jc w:val="center"/>
      <w:rPr>
        <w:rFonts w:ascii="Arial" w:hAnsi="Arial" w:cs="Arial"/>
        <w:lang w:val="pt-PT"/>
      </w:rPr>
    </w:pPr>
    <w:r w:rsidRPr="00276D3D">
      <w:rPr>
        <w:rFonts w:ascii="Arial" w:hAnsi="Arial" w:cs="Arial"/>
        <w:lang w:val="pt-PT"/>
      </w:rPr>
      <w:t>CA 21115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1C854" w14:textId="77777777" w:rsidR="00FA2B44" w:rsidRDefault="00FA2B44" w:rsidP="00866CCB">
      <w:pPr>
        <w:spacing w:after="0" w:line="240" w:lineRule="auto"/>
      </w:pPr>
      <w:r>
        <w:separator/>
      </w:r>
    </w:p>
  </w:footnote>
  <w:footnote w:type="continuationSeparator" w:id="0">
    <w:p w14:paraId="7D88587B" w14:textId="77777777" w:rsidR="00FA2B44" w:rsidRDefault="00FA2B44" w:rsidP="0086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2C28" w14:textId="2BBF5A9C" w:rsidR="004F3465" w:rsidRPr="00420592" w:rsidRDefault="004F3465" w:rsidP="004F3465">
    <w:pPr>
      <w:pStyle w:val="Intestazione"/>
      <w:jc w:val="center"/>
      <w:rPr>
        <w:rFonts w:ascii="Arial" w:hAnsi="Arial" w:cs="Arial"/>
      </w:rPr>
    </w:pPr>
    <w:r w:rsidRPr="00276D3D">
      <w:rPr>
        <w:rFonts w:ascii="Arial" w:hAnsi="Arial" w:cs="Arial"/>
      </w:rPr>
      <w:t xml:space="preserve">FeSImmChemNet scientific meeting, </w:t>
    </w:r>
    <w:r w:rsidR="0069282F">
      <w:rPr>
        <w:rFonts w:ascii="Arial" w:hAnsi="Arial" w:cs="Arial"/>
      </w:rPr>
      <w:t>02-03</w:t>
    </w:r>
    <w:r w:rsidRPr="00276D3D">
      <w:rPr>
        <w:rFonts w:ascii="Arial" w:hAnsi="Arial" w:cs="Arial"/>
      </w:rPr>
      <w:t xml:space="preserve"> </w:t>
    </w:r>
    <w:r w:rsidR="0069282F">
      <w:rPr>
        <w:rFonts w:ascii="Arial" w:hAnsi="Arial" w:cs="Arial"/>
      </w:rPr>
      <w:t>March</w:t>
    </w:r>
    <w:r w:rsidR="00A915B3">
      <w:rPr>
        <w:rFonts w:ascii="Arial" w:hAnsi="Arial" w:cs="Arial"/>
      </w:rPr>
      <w:t xml:space="preserve"> 202</w:t>
    </w:r>
    <w:r w:rsidR="0069282F">
      <w:rPr>
        <w:rFonts w:ascii="Arial" w:hAnsi="Arial" w:cs="Arial"/>
      </w:rPr>
      <w:t>6</w:t>
    </w:r>
    <w:r w:rsidR="00A915B3">
      <w:rPr>
        <w:rFonts w:ascii="Arial" w:hAnsi="Arial" w:cs="Arial"/>
      </w:rPr>
      <w:t xml:space="preserve">, </w:t>
    </w:r>
    <w:r w:rsidR="0069282F">
      <w:rPr>
        <w:rFonts w:ascii="Arial" w:hAnsi="Arial" w:cs="Arial"/>
      </w:rPr>
      <w:t>Seville</w:t>
    </w:r>
    <w:r w:rsidR="00A915B3">
      <w:rPr>
        <w:rFonts w:ascii="Arial" w:hAnsi="Arial" w:cs="Arial"/>
      </w:rPr>
      <w:t xml:space="preserve">, </w:t>
    </w:r>
    <w:r w:rsidR="0069282F">
      <w:rPr>
        <w:rFonts w:ascii="Arial" w:hAnsi="Arial" w:cs="Arial"/>
      </w:rPr>
      <w:t>Spain</w:t>
    </w:r>
  </w:p>
  <w:p w14:paraId="4FE22C29" w14:textId="77777777" w:rsidR="00866CCB" w:rsidRPr="00420592" w:rsidRDefault="00866CCB">
    <w:pPr>
      <w:pStyle w:val="Intestazione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CCB"/>
    <w:rsid w:val="00007708"/>
    <w:rsid w:val="000229BA"/>
    <w:rsid w:val="00031E06"/>
    <w:rsid w:val="000335AE"/>
    <w:rsid w:val="0005132F"/>
    <w:rsid w:val="000548D4"/>
    <w:rsid w:val="00092263"/>
    <w:rsid w:val="000A24AC"/>
    <w:rsid w:val="000E2300"/>
    <w:rsid w:val="00101AC6"/>
    <w:rsid w:val="00104CE2"/>
    <w:rsid w:val="00104E6C"/>
    <w:rsid w:val="0017075D"/>
    <w:rsid w:val="00174863"/>
    <w:rsid w:val="001A71E9"/>
    <w:rsid w:val="001B1BB8"/>
    <w:rsid w:val="001D2F83"/>
    <w:rsid w:val="001F48FA"/>
    <w:rsid w:val="001F6669"/>
    <w:rsid w:val="00237236"/>
    <w:rsid w:val="002527DE"/>
    <w:rsid w:val="00276D3D"/>
    <w:rsid w:val="002C4704"/>
    <w:rsid w:val="002C7DE8"/>
    <w:rsid w:val="00311083"/>
    <w:rsid w:val="00395D0A"/>
    <w:rsid w:val="003A50FC"/>
    <w:rsid w:val="003C77AA"/>
    <w:rsid w:val="003D758C"/>
    <w:rsid w:val="004071DE"/>
    <w:rsid w:val="00420592"/>
    <w:rsid w:val="00426999"/>
    <w:rsid w:val="00471318"/>
    <w:rsid w:val="004C103A"/>
    <w:rsid w:val="004F3465"/>
    <w:rsid w:val="005107C6"/>
    <w:rsid w:val="00512C76"/>
    <w:rsid w:val="00564F72"/>
    <w:rsid w:val="00566356"/>
    <w:rsid w:val="005773CE"/>
    <w:rsid w:val="005822AA"/>
    <w:rsid w:val="00584C1D"/>
    <w:rsid w:val="005E2812"/>
    <w:rsid w:val="006675DC"/>
    <w:rsid w:val="00677BB1"/>
    <w:rsid w:val="0069282F"/>
    <w:rsid w:val="006C1F1D"/>
    <w:rsid w:val="006F644D"/>
    <w:rsid w:val="006F6E19"/>
    <w:rsid w:val="007151E1"/>
    <w:rsid w:val="00747F38"/>
    <w:rsid w:val="00785D73"/>
    <w:rsid w:val="007F1C36"/>
    <w:rsid w:val="007F72A0"/>
    <w:rsid w:val="00823F20"/>
    <w:rsid w:val="0083520E"/>
    <w:rsid w:val="00842975"/>
    <w:rsid w:val="00866CCB"/>
    <w:rsid w:val="008A3917"/>
    <w:rsid w:val="008D0EA1"/>
    <w:rsid w:val="008F0DF8"/>
    <w:rsid w:val="00904AB4"/>
    <w:rsid w:val="00927F96"/>
    <w:rsid w:val="00932F41"/>
    <w:rsid w:val="00963553"/>
    <w:rsid w:val="009646EF"/>
    <w:rsid w:val="00993B48"/>
    <w:rsid w:val="00A62505"/>
    <w:rsid w:val="00A742D6"/>
    <w:rsid w:val="00A915B3"/>
    <w:rsid w:val="00B005EC"/>
    <w:rsid w:val="00B02629"/>
    <w:rsid w:val="00B06562"/>
    <w:rsid w:val="00B14FA1"/>
    <w:rsid w:val="00B35EC4"/>
    <w:rsid w:val="00B56D62"/>
    <w:rsid w:val="00B86ADA"/>
    <w:rsid w:val="00B952BD"/>
    <w:rsid w:val="00BA60E7"/>
    <w:rsid w:val="00BA685C"/>
    <w:rsid w:val="00BA7C6E"/>
    <w:rsid w:val="00BC31FC"/>
    <w:rsid w:val="00BD2DB4"/>
    <w:rsid w:val="00BD452A"/>
    <w:rsid w:val="00BE4D3E"/>
    <w:rsid w:val="00C04EB6"/>
    <w:rsid w:val="00C129A9"/>
    <w:rsid w:val="00C33D1D"/>
    <w:rsid w:val="00CA13EA"/>
    <w:rsid w:val="00CF1EAD"/>
    <w:rsid w:val="00CF5386"/>
    <w:rsid w:val="00D0641A"/>
    <w:rsid w:val="00D13A2B"/>
    <w:rsid w:val="00D53444"/>
    <w:rsid w:val="00D632CA"/>
    <w:rsid w:val="00D86FCD"/>
    <w:rsid w:val="00D87708"/>
    <w:rsid w:val="00DA2CB9"/>
    <w:rsid w:val="00DB7C6D"/>
    <w:rsid w:val="00E0768A"/>
    <w:rsid w:val="00E10864"/>
    <w:rsid w:val="00E24484"/>
    <w:rsid w:val="00E30645"/>
    <w:rsid w:val="00E3097A"/>
    <w:rsid w:val="00F060F7"/>
    <w:rsid w:val="00F40217"/>
    <w:rsid w:val="00F61B45"/>
    <w:rsid w:val="00F834B3"/>
    <w:rsid w:val="00F92BF0"/>
    <w:rsid w:val="00F96EDB"/>
    <w:rsid w:val="00FA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22C0F"/>
  <w15:docId w15:val="{C4057F79-AD24-4024-BDEB-8CAA6604E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paragraph" w:styleId="Titolo4">
    <w:name w:val="heading 4"/>
    <w:basedOn w:val="Normale"/>
    <w:link w:val="Titolo4Carattere"/>
    <w:uiPriority w:val="9"/>
    <w:qFormat/>
    <w:rsid w:val="008D0E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6C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CCB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66C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CCB"/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6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6CCB"/>
    <w:rPr>
      <w:rFonts w:ascii="Tahoma" w:hAnsi="Tahoma" w:cs="Tahoma"/>
      <w:sz w:val="16"/>
      <w:szCs w:val="16"/>
      <w:lang w:val="en-US"/>
    </w:rPr>
  </w:style>
  <w:style w:type="paragraph" w:styleId="NormaleWeb">
    <w:name w:val="Normal (Web)"/>
    <w:basedOn w:val="Normale"/>
    <w:uiPriority w:val="99"/>
    <w:unhideWhenUsed/>
    <w:rsid w:val="00866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BA7C6E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D0E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68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3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130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sanna.cuccaro@unifi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Pratali Elisa</dc:creator>
  <cp:lastModifiedBy>Rosanna Cuccaro</cp:lastModifiedBy>
  <cp:revision>82</cp:revision>
  <dcterms:created xsi:type="dcterms:W3CDTF">2022-10-25T14:31:00Z</dcterms:created>
  <dcterms:modified xsi:type="dcterms:W3CDTF">2026-02-23T11:21:00Z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ccf7256d-2df4-4cd6-b15a-141730574f39</vt:lpwstr>
  </property>
</Properties>
</file>