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thumbnail" Target="docProps/thumbnail.emf"/><Relationship Id="rId2" Type="http://schemas.microsoft.com/office/2011/relationships/webextensiontaskpanes" Target="word/webextensions/taskpanes.xml"/><Relationship Id="rId1" Type="http://schemas.openxmlformats.org/officeDocument/2006/relationships/officeDocument" Target="word/document.xml"/><Relationship Id="rId6" Type="http://schemas.openxmlformats.org/officeDocument/2006/relationships/custom-properties" Target="docProps/custom.xml"/><Relationship Id="rId5" Type="http://schemas.openxmlformats.org/officeDocument/2006/relationships/extended-properties" Target="docProps/app.xml"/><Relationship Id="rId4" Type="http://schemas.openxmlformats.org/package/2006/relationships/metadata/core-properties" Target="docProps/core.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6E182B2" w14:textId="587BC27C" w:rsidR="001846C7" w:rsidRPr="00BA3910" w:rsidRDefault="007C19D2" w:rsidP="00407767">
      <w:pPr>
        <w:spacing w:line="360" w:lineRule="auto"/>
        <w:jc w:val="both"/>
        <w:rPr>
          <w:rFonts w:ascii="Arial" w:hAnsi="Arial" w:cs="Arial"/>
          <w:b/>
          <w:bCs/>
          <w:lang w:val="en-GB"/>
        </w:rPr>
      </w:pPr>
      <w:r w:rsidRPr="00BA3910">
        <w:rPr>
          <w:rFonts w:ascii="Arial" w:hAnsi="Arial" w:cs="Arial"/>
          <w:b/>
          <w:bCs/>
          <w:lang w:val="en-GB"/>
        </w:rPr>
        <w:t>Diagnostic accuracy of Liver Stiffness Measurement for the diagnosis of Veno-Occlusive Disease/Sinusoidal Obstruction Syndrome after Hematopoietic Stem Cell Transplantation (ELASTO</w:t>
      </w:r>
      <w:r w:rsidR="000D1ED3" w:rsidRPr="00BA3910">
        <w:rPr>
          <w:rFonts w:ascii="Arial" w:hAnsi="Arial" w:cs="Arial"/>
          <w:b/>
          <w:bCs/>
          <w:lang w:val="en-GB"/>
        </w:rPr>
        <w:t>VOD/SOS</w:t>
      </w:r>
      <w:r w:rsidRPr="00BA3910">
        <w:rPr>
          <w:rFonts w:ascii="Arial" w:hAnsi="Arial" w:cs="Arial"/>
          <w:b/>
          <w:bCs/>
          <w:lang w:val="en-GB"/>
        </w:rPr>
        <w:t>): an Italian pragmatic investigator-initiated, prospective, multicentre diagnostic clinical trial</w:t>
      </w:r>
      <w:r w:rsidR="00BE0344">
        <w:rPr>
          <w:rFonts w:ascii="Arial" w:hAnsi="Arial" w:cs="Arial"/>
          <w:b/>
          <w:bCs/>
          <w:lang w:val="en-GB"/>
        </w:rPr>
        <w:t>.</w:t>
      </w:r>
    </w:p>
    <w:p w14:paraId="49E975B2" w14:textId="77777777" w:rsidR="007C19D2" w:rsidRPr="00BA3910" w:rsidRDefault="007C19D2" w:rsidP="00407767">
      <w:pPr>
        <w:spacing w:line="360" w:lineRule="auto"/>
        <w:jc w:val="both"/>
        <w:rPr>
          <w:rFonts w:ascii="Arial" w:hAnsi="Arial" w:cs="Arial"/>
          <w:b/>
          <w:bCs/>
          <w:lang w:val="en-GB"/>
        </w:rPr>
      </w:pPr>
    </w:p>
    <w:p w14:paraId="3F810FD9" w14:textId="77777777" w:rsidR="00697EE4" w:rsidRDefault="001846C7" w:rsidP="00407767">
      <w:pPr>
        <w:spacing w:line="360" w:lineRule="auto"/>
        <w:jc w:val="both"/>
        <w:rPr>
          <w:rFonts w:ascii="Arial" w:hAnsi="Arial" w:cs="Arial"/>
          <w:b/>
          <w:bCs/>
          <w:sz w:val="21"/>
          <w:szCs w:val="21"/>
        </w:rPr>
      </w:pPr>
      <w:r w:rsidRPr="00061511">
        <w:rPr>
          <w:rFonts w:ascii="Arial" w:hAnsi="Arial" w:cs="Arial"/>
          <w:b/>
          <w:bCs/>
          <w:sz w:val="21"/>
          <w:szCs w:val="21"/>
        </w:rPr>
        <w:t xml:space="preserve">Authors: </w:t>
      </w:r>
    </w:p>
    <w:p w14:paraId="61E8FA9A" w14:textId="7B5FCD0D" w:rsidR="00061511" w:rsidRPr="00A0718A" w:rsidRDefault="00061511" w:rsidP="00A0718A">
      <w:pPr>
        <w:spacing w:line="360" w:lineRule="auto"/>
        <w:jc w:val="both"/>
        <w:rPr>
          <w:rFonts w:ascii="Arial" w:hAnsi="Arial" w:cs="Arial"/>
          <w:sz w:val="21"/>
          <w:szCs w:val="21"/>
        </w:rPr>
      </w:pPr>
      <w:r w:rsidRPr="00A0718A">
        <w:rPr>
          <w:rFonts w:ascii="Arial" w:hAnsi="Arial" w:cs="Arial"/>
          <w:sz w:val="21"/>
          <w:szCs w:val="21"/>
        </w:rPr>
        <w:t xml:space="preserve">Federico </w:t>
      </w:r>
      <w:r w:rsidRPr="001916DF">
        <w:rPr>
          <w:rFonts w:ascii="Arial" w:hAnsi="Arial" w:cs="Arial"/>
          <w:sz w:val="21"/>
          <w:szCs w:val="21"/>
        </w:rPr>
        <w:t xml:space="preserve">Ravaioli </w:t>
      </w:r>
      <w:r w:rsidRPr="001916DF">
        <w:rPr>
          <w:rFonts w:ascii="Arial" w:hAnsi="Arial" w:cs="Arial"/>
          <w:sz w:val="21"/>
          <w:szCs w:val="21"/>
          <w:vertAlign w:val="superscript"/>
        </w:rPr>
        <w:t>1#</w:t>
      </w:r>
      <w:r w:rsidRPr="001916DF">
        <w:rPr>
          <w:rFonts w:ascii="Arial" w:hAnsi="Arial" w:cs="Arial"/>
          <w:sz w:val="21"/>
          <w:szCs w:val="21"/>
        </w:rPr>
        <w:t xml:space="preserve">, Antonio Colecchia </w:t>
      </w:r>
      <w:r w:rsidRPr="001916DF">
        <w:rPr>
          <w:rFonts w:ascii="Arial" w:hAnsi="Arial" w:cs="Arial"/>
          <w:sz w:val="21"/>
          <w:szCs w:val="21"/>
          <w:vertAlign w:val="superscript"/>
        </w:rPr>
        <w:t>2#</w:t>
      </w:r>
      <w:r w:rsidRPr="001916DF">
        <w:rPr>
          <w:rFonts w:ascii="Arial" w:hAnsi="Arial" w:cs="Arial"/>
          <w:sz w:val="21"/>
          <w:szCs w:val="21"/>
        </w:rPr>
        <w:t xml:space="preserve">, Jacopo Peccatori </w:t>
      </w:r>
      <w:r w:rsidRPr="001916DF">
        <w:rPr>
          <w:rFonts w:ascii="Arial" w:hAnsi="Arial" w:cs="Arial"/>
          <w:sz w:val="21"/>
          <w:szCs w:val="21"/>
          <w:vertAlign w:val="superscript"/>
        </w:rPr>
        <w:t>3</w:t>
      </w:r>
      <w:r w:rsidRPr="001916DF">
        <w:rPr>
          <w:rFonts w:ascii="Arial" w:hAnsi="Arial" w:cs="Arial"/>
          <w:sz w:val="21"/>
          <w:szCs w:val="21"/>
        </w:rPr>
        <w:t xml:space="preserve">, </w:t>
      </w:r>
      <w:r w:rsidR="00227CDA" w:rsidRPr="001916DF">
        <w:rPr>
          <w:rFonts w:ascii="Arial" w:hAnsi="Arial" w:cs="Arial"/>
          <w:sz w:val="21"/>
          <w:szCs w:val="21"/>
        </w:rPr>
        <w:t>Daria Pagliara</w:t>
      </w:r>
      <w:r w:rsidR="00227CDA" w:rsidRPr="001916DF">
        <w:rPr>
          <w:rFonts w:ascii="Arial" w:hAnsi="Arial" w:cs="Arial"/>
          <w:sz w:val="21"/>
          <w:szCs w:val="21"/>
          <w:vertAlign w:val="superscript"/>
        </w:rPr>
        <w:t>7</w:t>
      </w:r>
      <w:r w:rsidR="00CB7227" w:rsidRPr="001916DF">
        <w:rPr>
          <w:rFonts w:ascii="Arial" w:hAnsi="Arial" w:cs="Arial"/>
          <w:sz w:val="21"/>
          <w:szCs w:val="21"/>
        </w:rPr>
        <w:t xml:space="preserve">, </w:t>
      </w:r>
      <w:r w:rsidRPr="001916DF">
        <w:rPr>
          <w:rFonts w:ascii="Arial" w:hAnsi="Arial" w:cs="Arial"/>
          <w:sz w:val="21"/>
          <w:szCs w:val="21"/>
        </w:rPr>
        <w:t xml:space="preserve">Anna Grassi </w:t>
      </w:r>
      <w:r w:rsidRPr="001916DF">
        <w:rPr>
          <w:rFonts w:ascii="Arial" w:hAnsi="Arial" w:cs="Arial"/>
          <w:sz w:val="21"/>
          <w:szCs w:val="21"/>
          <w:vertAlign w:val="superscript"/>
        </w:rPr>
        <w:t>4</w:t>
      </w:r>
      <w:r w:rsidRPr="001916DF">
        <w:rPr>
          <w:rFonts w:ascii="Arial" w:hAnsi="Arial" w:cs="Arial"/>
          <w:sz w:val="21"/>
          <w:szCs w:val="21"/>
        </w:rPr>
        <w:t>,</w:t>
      </w:r>
      <w:r w:rsidR="00CB7227" w:rsidRPr="001916DF">
        <w:rPr>
          <w:rFonts w:ascii="Arial" w:hAnsi="Arial" w:cs="Arial"/>
          <w:sz w:val="21"/>
          <w:szCs w:val="21"/>
        </w:rPr>
        <w:t xml:space="preserve"> Francesco Barbato</w:t>
      </w:r>
      <w:r w:rsidR="00CB7227" w:rsidRPr="001916DF">
        <w:rPr>
          <w:rFonts w:ascii="Arial" w:hAnsi="Arial" w:cs="Arial"/>
          <w:sz w:val="21"/>
          <w:szCs w:val="21"/>
          <w:vertAlign w:val="superscript"/>
        </w:rPr>
        <w:t>1</w:t>
      </w:r>
      <w:r w:rsidR="00CB7227" w:rsidRPr="001916DF">
        <w:rPr>
          <w:rFonts w:ascii="Arial" w:hAnsi="Arial" w:cs="Arial"/>
          <w:sz w:val="21"/>
          <w:szCs w:val="21"/>
        </w:rPr>
        <w:t xml:space="preserve">, </w:t>
      </w:r>
      <w:r w:rsidR="00697EE4" w:rsidRPr="001916DF">
        <w:rPr>
          <w:rFonts w:ascii="Arial" w:hAnsi="Arial" w:cs="Arial"/>
          <w:sz w:val="21"/>
          <w:szCs w:val="21"/>
        </w:rPr>
        <w:t>Riccardo</w:t>
      </w:r>
      <w:r w:rsidR="0061511A" w:rsidRPr="0061511A">
        <w:rPr>
          <w:rFonts w:ascii="Arial" w:hAnsi="Arial" w:cs="Arial"/>
          <w:sz w:val="21"/>
          <w:szCs w:val="21"/>
        </w:rPr>
        <w:t xml:space="preserve"> </w:t>
      </w:r>
      <w:r w:rsidR="0061511A" w:rsidRPr="001916DF">
        <w:rPr>
          <w:rFonts w:ascii="Arial" w:hAnsi="Arial" w:cs="Arial"/>
          <w:sz w:val="21"/>
          <w:szCs w:val="21"/>
        </w:rPr>
        <w:t xml:space="preserve">Masetti </w:t>
      </w:r>
      <w:r w:rsidR="00697EE4" w:rsidRPr="001916DF">
        <w:rPr>
          <w:rFonts w:ascii="Arial" w:hAnsi="Arial" w:cs="Arial"/>
          <w:sz w:val="21"/>
          <w:szCs w:val="21"/>
          <w:vertAlign w:val="superscript"/>
        </w:rPr>
        <w:t>1</w:t>
      </w:r>
      <w:r w:rsidR="00A0718A" w:rsidRPr="001916DF">
        <w:rPr>
          <w:rFonts w:ascii="Arial" w:hAnsi="Arial" w:cs="Arial"/>
          <w:sz w:val="21"/>
          <w:szCs w:val="21"/>
        </w:rPr>
        <w:t xml:space="preserve">, </w:t>
      </w:r>
      <w:r w:rsidRPr="001916DF">
        <w:rPr>
          <w:rFonts w:ascii="Arial" w:hAnsi="Arial" w:cs="Arial"/>
          <w:sz w:val="21"/>
          <w:szCs w:val="21"/>
        </w:rPr>
        <w:t>Barbara Sarina</w:t>
      </w:r>
      <w:r w:rsidRPr="001916DF">
        <w:rPr>
          <w:rFonts w:ascii="Arial" w:hAnsi="Arial" w:cs="Arial"/>
          <w:sz w:val="21"/>
          <w:szCs w:val="21"/>
          <w:vertAlign w:val="superscript"/>
        </w:rPr>
        <w:t>5</w:t>
      </w:r>
      <w:r w:rsidRPr="001916DF">
        <w:rPr>
          <w:rFonts w:ascii="Arial" w:hAnsi="Arial" w:cs="Arial"/>
          <w:sz w:val="21"/>
          <w:szCs w:val="21"/>
        </w:rPr>
        <w:t>, Simona Sica</w:t>
      </w:r>
      <w:r w:rsidRPr="001916DF">
        <w:rPr>
          <w:rFonts w:ascii="Arial" w:hAnsi="Arial" w:cs="Arial"/>
          <w:sz w:val="21"/>
          <w:szCs w:val="21"/>
          <w:vertAlign w:val="superscript"/>
        </w:rPr>
        <w:t>6</w:t>
      </w:r>
      <w:r w:rsidRPr="001916DF">
        <w:rPr>
          <w:rFonts w:ascii="Arial" w:hAnsi="Arial" w:cs="Arial"/>
          <w:sz w:val="21"/>
          <w:szCs w:val="21"/>
        </w:rPr>
        <w:t>,</w:t>
      </w:r>
      <w:r w:rsidR="00CB7227" w:rsidRPr="001916DF">
        <w:rPr>
          <w:rFonts w:ascii="Arial" w:hAnsi="Arial" w:cs="Arial"/>
          <w:sz w:val="21"/>
          <w:szCs w:val="21"/>
        </w:rPr>
        <w:t xml:space="preserve"> </w:t>
      </w:r>
      <w:r w:rsidRPr="001916DF">
        <w:rPr>
          <w:rFonts w:ascii="Arial" w:hAnsi="Arial" w:cs="Arial"/>
          <w:sz w:val="21"/>
          <w:szCs w:val="21"/>
        </w:rPr>
        <w:t>Simone Cesaro</w:t>
      </w:r>
      <w:r w:rsidRPr="001916DF">
        <w:rPr>
          <w:rFonts w:ascii="Arial" w:hAnsi="Arial" w:cs="Arial"/>
          <w:sz w:val="21"/>
          <w:szCs w:val="21"/>
          <w:vertAlign w:val="superscript"/>
        </w:rPr>
        <w:t>8</w:t>
      </w:r>
      <w:r w:rsidRPr="001916DF">
        <w:rPr>
          <w:rFonts w:ascii="Arial" w:hAnsi="Arial" w:cs="Arial"/>
          <w:sz w:val="21"/>
          <w:szCs w:val="21"/>
        </w:rPr>
        <w:t>, Chiara Nozzoli</w:t>
      </w:r>
      <w:r w:rsidRPr="001916DF">
        <w:rPr>
          <w:rFonts w:ascii="Arial" w:hAnsi="Arial" w:cs="Arial"/>
          <w:sz w:val="21"/>
          <w:szCs w:val="21"/>
          <w:vertAlign w:val="superscript"/>
        </w:rPr>
        <w:t>9</w:t>
      </w:r>
      <w:r w:rsidRPr="001916DF">
        <w:rPr>
          <w:rFonts w:ascii="Arial" w:hAnsi="Arial" w:cs="Arial"/>
          <w:sz w:val="21"/>
          <w:szCs w:val="21"/>
        </w:rPr>
        <w:t>, Anna Paola Iori</w:t>
      </w:r>
      <w:r w:rsidRPr="001916DF">
        <w:rPr>
          <w:rFonts w:ascii="Arial" w:hAnsi="Arial" w:cs="Arial"/>
          <w:sz w:val="21"/>
          <w:szCs w:val="21"/>
          <w:vertAlign w:val="superscript"/>
        </w:rPr>
        <w:t>1</w:t>
      </w:r>
      <w:r w:rsidR="002A213E" w:rsidRPr="001916DF">
        <w:rPr>
          <w:rFonts w:ascii="Arial" w:hAnsi="Arial" w:cs="Arial"/>
          <w:sz w:val="21"/>
          <w:szCs w:val="21"/>
          <w:vertAlign w:val="superscript"/>
        </w:rPr>
        <w:t>0</w:t>
      </w:r>
      <w:r w:rsidRPr="001916DF">
        <w:rPr>
          <w:rFonts w:ascii="Arial" w:hAnsi="Arial" w:cs="Arial"/>
          <w:sz w:val="21"/>
          <w:szCs w:val="21"/>
        </w:rPr>
        <w:t>, Lucia Prezioso</w:t>
      </w:r>
      <w:r w:rsidRPr="001916DF">
        <w:rPr>
          <w:rFonts w:ascii="Arial" w:hAnsi="Arial" w:cs="Arial"/>
          <w:sz w:val="21"/>
          <w:szCs w:val="21"/>
          <w:vertAlign w:val="superscript"/>
        </w:rPr>
        <w:t>11</w:t>
      </w:r>
      <w:r w:rsidRPr="001916DF">
        <w:rPr>
          <w:rFonts w:ascii="Arial" w:hAnsi="Arial" w:cs="Arial"/>
          <w:sz w:val="21"/>
          <w:szCs w:val="21"/>
        </w:rPr>
        <w:t>, Stella Santarone</w:t>
      </w:r>
      <w:r w:rsidRPr="001916DF">
        <w:rPr>
          <w:rFonts w:ascii="Arial" w:hAnsi="Arial" w:cs="Arial"/>
          <w:sz w:val="21"/>
          <w:szCs w:val="21"/>
          <w:vertAlign w:val="superscript"/>
        </w:rPr>
        <w:t>12</w:t>
      </w:r>
      <w:r w:rsidRPr="001916DF">
        <w:rPr>
          <w:rFonts w:ascii="Arial" w:hAnsi="Arial" w:cs="Arial"/>
          <w:sz w:val="21"/>
          <w:szCs w:val="21"/>
        </w:rPr>
        <w:t>, Franca Fagioli</w:t>
      </w:r>
      <w:r w:rsidRPr="001916DF">
        <w:rPr>
          <w:rFonts w:ascii="Arial" w:hAnsi="Arial" w:cs="Arial"/>
          <w:sz w:val="21"/>
          <w:szCs w:val="21"/>
          <w:vertAlign w:val="superscript"/>
        </w:rPr>
        <w:t>13</w:t>
      </w:r>
      <w:r w:rsidRPr="001916DF">
        <w:rPr>
          <w:rFonts w:ascii="Arial" w:hAnsi="Arial" w:cs="Arial"/>
          <w:sz w:val="21"/>
          <w:szCs w:val="21"/>
        </w:rPr>
        <w:t>, Attilio Olivieri</w:t>
      </w:r>
      <w:r w:rsidRPr="001916DF">
        <w:rPr>
          <w:rFonts w:ascii="Arial" w:hAnsi="Arial" w:cs="Arial"/>
          <w:sz w:val="21"/>
          <w:szCs w:val="21"/>
          <w:vertAlign w:val="superscript"/>
        </w:rPr>
        <w:t>14</w:t>
      </w:r>
      <w:r w:rsidRPr="001916DF">
        <w:rPr>
          <w:rFonts w:ascii="Arial" w:hAnsi="Arial" w:cs="Arial"/>
          <w:sz w:val="21"/>
          <w:szCs w:val="21"/>
        </w:rPr>
        <w:t>, Ester Vanni</w:t>
      </w:r>
      <w:r w:rsidRPr="001916DF">
        <w:rPr>
          <w:rFonts w:ascii="Arial" w:hAnsi="Arial" w:cs="Arial"/>
          <w:sz w:val="21"/>
          <w:szCs w:val="21"/>
          <w:vertAlign w:val="superscript"/>
        </w:rPr>
        <w:t>15</w:t>
      </w:r>
      <w:r w:rsidRPr="001916DF">
        <w:rPr>
          <w:rFonts w:ascii="Arial" w:hAnsi="Arial" w:cs="Arial"/>
          <w:sz w:val="21"/>
          <w:szCs w:val="21"/>
        </w:rPr>
        <w:t xml:space="preserve">, </w:t>
      </w:r>
      <w:r w:rsidR="001220C3" w:rsidRPr="001916DF">
        <w:rPr>
          <w:rFonts w:ascii="Arial" w:hAnsi="Arial" w:cs="Arial"/>
          <w:sz w:val="21"/>
          <w:szCs w:val="21"/>
        </w:rPr>
        <w:t>Mario Delia</w:t>
      </w:r>
      <w:r w:rsidRPr="001916DF">
        <w:rPr>
          <w:rFonts w:ascii="Arial" w:hAnsi="Arial" w:cs="Arial"/>
          <w:sz w:val="21"/>
          <w:szCs w:val="21"/>
          <w:vertAlign w:val="superscript"/>
        </w:rPr>
        <w:t>16</w:t>
      </w:r>
      <w:r w:rsidRPr="001916DF">
        <w:rPr>
          <w:rFonts w:ascii="Arial" w:hAnsi="Arial" w:cs="Arial"/>
          <w:sz w:val="21"/>
          <w:szCs w:val="21"/>
        </w:rPr>
        <w:t>, Edoardo Benedetti</w:t>
      </w:r>
      <w:r w:rsidRPr="001916DF">
        <w:rPr>
          <w:rFonts w:ascii="Arial" w:hAnsi="Arial" w:cs="Arial"/>
          <w:sz w:val="21"/>
          <w:szCs w:val="21"/>
          <w:vertAlign w:val="superscript"/>
        </w:rPr>
        <w:t>17</w:t>
      </w:r>
      <w:r w:rsidRPr="001916DF">
        <w:rPr>
          <w:rFonts w:ascii="Arial" w:hAnsi="Arial" w:cs="Arial"/>
          <w:sz w:val="21"/>
          <w:szCs w:val="21"/>
        </w:rPr>
        <w:t>, Francesco Zallio</w:t>
      </w:r>
      <w:r w:rsidRPr="001916DF">
        <w:rPr>
          <w:rFonts w:ascii="Arial" w:hAnsi="Arial" w:cs="Arial"/>
          <w:sz w:val="21"/>
          <w:szCs w:val="21"/>
          <w:vertAlign w:val="superscript"/>
        </w:rPr>
        <w:t>18</w:t>
      </w:r>
      <w:r w:rsidRPr="001916DF">
        <w:rPr>
          <w:rFonts w:ascii="Arial" w:hAnsi="Arial" w:cs="Arial"/>
          <w:sz w:val="21"/>
          <w:szCs w:val="21"/>
        </w:rPr>
        <w:t>, Fabrizio Pane</w:t>
      </w:r>
      <w:r w:rsidRPr="001916DF">
        <w:rPr>
          <w:rFonts w:ascii="Arial" w:hAnsi="Arial" w:cs="Arial"/>
          <w:sz w:val="21"/>
          <w:szCs w:val="21"/>
          <w:vertAlign w:val="superscript"/>
        </w:rPr>
        <w:t>19</w:t>
      </w:r>
      <w:r w:rsidRPr="001916DF">
        <w:rPr>
          <w:rFonts w:ascii="Arial" w:hAnsi="Arial" w:cs="Arial"/>
          <w:sz w:val="21"/>
          <w:szCs w:val="21"/>
        </w:rPr>
        <w:t xml:space="preserve">, </w:t>
      </w:r>
      <w:r w:rsidR="001220C3" w:rsidRPr="001916DF">
        <w:rPr>
          <w:rFonts w:ascii="Arial" w:hAnsi="Arial" w:cs="Arial"/>
          <w:sz w:val="21"/>
          <w:szCs w:val="21"/>
        </w:rPr>
        <w:t>Cristina Skert</w:t>
      </w:r>
      <w:r w:rsidRPr="001916DF">
        <w:rPr>
          <w:rFonts w:ascii="Arial" w:hAnsi="Arial" w:cs="Arial"/>
          <w:sz w:val="21"/>
          <w:szCs w:val="21"/>
          <w:vertAlign w:val="superscript"/>
        </w:rPr>
        <w:t>20</w:t>
      </w:r>
      <w:r w:rsidRPr="001916DF">
        <w:rPr>
          <w:rFonts w:ascii="Arial" w:hAnsi="Arial" w:cs="Arial"/>
          <w:sz w:val="21"/>
          <w:szCs w:val="21"/>
        </w:rPr>
        <w:t>, Mariacristina Menconi</w:t>
      </w:r>
      <w:r w:rsidRPr="001916DF">
        <w:rPr>
          <w:rFonts w:ascii="Arial" w:hAnsi="Arial" w:cs="Arial"/>
          <w:sz w:val="21"/>
          <w:szCs w:val="21"/>
          <w:vertAlign w:val="superscript"/>
        </w:rPr>
        <w:t>21</w:t>
      </w:r>
      <w:r w:rsidRPr="001916DF">
        <w:rPr>
          <w:rFonts w:ascii="Arial" w:hAnsi="Arial" w:cs="Arial"/>
          <w:sz w:val="21"/>
          <w:szCs w:val="21"/>
        </w:rPr>
        <w:t>, Fabio Benedetti</w:t>
      </w:r>
      <w:r w:rsidRPr="001916DF">
        <w:rPr>
          <w:rFonts w:ascii="Arial" w:hAnsi="Arial" w:cs="Arial"/>
          <w:sz w:val="21"/>
          <w:szCs w:val="21"/>
          <w:vertAlign w:val="superscript"/>
        </w:rPr>
        <w:t>22</w:t>
      </w:r>
      <w:r w:rsidRPr="001916DF">
        <w:rPr>
          <w:rFonts w:ascii="Arial" w:hAnsi="Arial" w:cs="Arial"/>
          <w:sz w:val="21"/>
          <w:szCs w:val="21"/>
        </w:rPr>
        <w:t>,</w:t>
      </w:r>
      <w:r w:rsidR="00CB7227" w:rsidRPr="001916DF">
        <w:rPr>
          <w:rFonts w:ascii="Arial" w:hAnsi="Arial" w:cs="Arial"/>
          <w:sz w:val="21"/>
          <w:szCs w:val="21"/>
        </w:rPr>
        <w:t xml:space="preserve"> Francesco De Felice</w:t>
      </w:r>
      <w:r w:rsidR="00CB7227" w:rsidRPr="001916DF">
        <w:rPr>
          <w:rFonts w:ascii="Arial" w:hAnsi="Arial" w:cs="Arial"/>
          <w:sz w:val="21"/>
          <w:szCs w:val="21"/>
          <w:vertAlign w:val="superscript"/>
        </w:rPr>
        <w:t>1</w:t>
      </w:r>
      <w:r w:rsidR="00A0718A" w:rsidRPr="001916DF">
        <w:rPr>
          <w:rFonts w:ascii="Arial" w:hAnsi="Arial" w:cs="Arial"/>
          <w:sz w:val="21"/>
          <w:szCs w:val="21"/>
        </w:rPr>
        <w:t>,</w:t>
      </w:r>
      <w:r w:rsidR="00034CBD" w:rsidRPr="001916DF">
        <w:rPr>
          <w:rFonts w:ascii="Arial" w:hAnsi="Arial" w:cs="Arial"/>
          <w:sz w:val="21"/>
          <w:szCs w:val="21"/>
        </w:rPr>
        <w:t xml:space="preserve"> Luigi Colecchia</w:t>
      </w:r>
      <w:r w:rsidR="00034CBD" w:rsidRPr="001916DF">
        <w:rPr>
          <w:rFonts w:ascii="Arial" w:hAnsi="Arial" w:cs="Arial"/>
          <w:sz w:val="21"/>
          <w:szCs w:val="21"/>
          <w:vertAlign w:val="superscript"/>
        </w:rPr>
        <w:t>1</w:t>
      </w:r>
      <w:r w:rsidR="00034CBD" w:rsidRPr="001916DF">
        <w:rPr>
          <w:rFonts w:ascii="Arial" w:hAnsi="Arial" w:cs="Arial"/>
          <w:sz w:val="21"/>
          <w:szCs w:val="21"/>
        </w:rPr>
        <w:t xml:space="preserve">, </w:t>
      </w:r>
      <w:r w:rsidRPr="001916DF">
        <w:rPr>
          <w:rFonts w:ascii="Arial" w:hAnsi="Arial" w:cs="Arial"/>
          <w:sz w:val="21"/>
          <w:szCs w:val="21"/>
        </w:rPr>
        <w:t>Luigina Vanessa Alemanni</w:t>
      </w:r>
      <w:r w:rsidRPr="001916DF">
        <w:rPr>
          <w:rFonts w:ascii="Arial" w:hAnsi="Arial" w:cs="Arial"/>
          <w:sz w:val="21"/>
          <w:szCs w:val="21"/>
          <w:vertAlign w:val="superscript"/>
        </w:rPr>
        <w:t>1</w:t>
      </w:r>
      <w:r w:rsidRPr="001916DF">
        <w:rPr>
          <w:rFonts w:ascii="Arial" w:hAnsi="Arial" w:cs="Arial"/>
          <w:sz w:val="21"/>
          <w:szCs w:val="21"/>
        </w:rPr>
        <w:t>,</w:t>
      </w:r>
      <w:r w:rsidR="00CB7227" w:rsidRPr="001916DF">
        <w:rPr>
          <w:rFonts w:ascii="Arial" w:hAnsi="Arial" w:cs="Arial"/>
          <w:sz w:val="21"/>
          <w:szCs w:val="21"/>
        </w:rPr>
        <w:t xml:space="preserve"> Margherita Ursi</w:t>
      </w:r>
      <w:r w:rsidR="00CB7227" w:rsidRPr="001916DF">
        <w:rPr>
          <w:rFonts w:ascii="Arial" w:hAnsi="Arial" w:cs="Arial"/>
          <w:sz w:val="21"/>
          <w:szCs w:val="21"/>
          <w:vertAlign w:val="superscript"/>
        </w:rPr>
        <w:t>1</w:t>
      </w:r>
      <w:r w:rsidR="00CB7227" w:rsidRPr="001916DF">
        <w:rPr>
          <w:rFonts w:ascii="Arial" w:hAnsi="Arial" w:cs="Arial"/>
          <w:sz w:val="21"/>
          <w:szCs w:val="21"/>
        </w:rPr>
        <w:t>,</w:t>
      </w:r>
      <w:r w:rsidRPr="001916DF">
        <w:rPr>
          <w:rFonts w:ascii="Arial" w:hAnsi="Arial" w:cs="Arial"/>
          <w:sz w:val="21"/>
          <w:szCs w:val="21"/>
        </w:rPr>
        <w:t xml:space="preserve"> Giovanni Marasco</w:t>
      </w:r>
      <w:r w:rsidRPr="001916DF">
        <w:rPr>
          <w:rFonts w:ascii="Arial" w:hAnsi="Arial" w:cs="Arial"/>
          <w:sz w:val="21"/>
          <w:szCs w:val="21"/>
          <w:vertAlign w:val="superscript"/>
        </w:rPr>
        <w:t>1</w:t>
      </w:r>
      <w:r w:rsidRPr="001916DF">
        <w:rPr>
          <w:rFonts w:ascii="Arial" w:hAnsi="Arial" w:cs="Arial"/>
          <w:sz w:val="21"/>
          <w:szCs w:val="21"/>
        </w:rPr>
        <w:t xml:space="preserve">, </w:t>
      </w:r>
      <w:r w:rsidR="00CB7227" w:rsidRPr="001916DF">
        <w:rPr>
          <w:rFonts w:ascii="Arial" w:hAnsi="Arial" w:cs="Arial"/>
          <w:sz w:val="21"/>
          <w:szCs w:val="21"/>
        </w:rPr>
        <w:t>Marcello Roberto</w:t>
      </w:r>
      <w:r w:rsidR="00CB7227" w:rsidRPr="001916DF">
        <w:rPr>
          <w:rFonts w:ascii="Arial" w:hAnsi="Arial" w:cs="Arial"/>
          <w:sz w:val="21"/>
          <w:szCs w:val="21"/>
          <w:vertAlign w:val="superscript"/>
        </w:rPr>
        <w:t>1</w:t>
      </w:r>
      <w:r w:rsidR="00CB7227" w:rsidRPr="001916DF">
        <w:rPr>
          <w:rFonts w:ascii="Arial" w:hAnsi="Arial" w:cs="Arial"/>
          <w:sz w:val="21"/>
          <w:szCs w:val="21"/>
        </w:rPr>
        <w:t xml:space="preserve">, </w:t>
      </w:r>
      <w:r w:rsidR="00A0718A" w:rsidRPr="001916DF">
        <w:rPr>
          <w:rFonts w:ascii="Arial" w:hAnsi="Arial" w:cs="Arial"/>
          <w:sz w:val="21"/>
          <w:szCs w:val="21"/>
        </w:rPr>
        <w:t>Amanda Vestito</w:t>
      </w:r>
      <w:r w:rsidR="00A0718A" w:rsidRPr="001916DF">
        <w:rPr>
          <w:rFonts w:ascii="Arial" w:hAnsi="Arial" w:cs="Arial"/>
          <w:sz w:val="21"/>
          <w:szCs w:val="21"/>
          <w:vertAlign w:val="superscript"/>
        </w:rPr>
        <w:t>1</w:t>
      </w:r>
      <w:r w:rsidR="00A0718A" w:rsidRPr="001916DF">
        <w:rPr>
          <w:rFonts w:ascii="Arial" w:hAnsi="Arial" w:cs="Arial"/>
          <w:sz w:val="21"/>
          <w:szCs w:val="21"/>
        </w:rPr>
        <w:t>,</w:t>
      </w:r>
      <w:r w:rsidR="00034CBD" w:rsidRPr="001916DF">
        <w:rPr>
          <w:rFonts w:ascii="Arial" w:hAnsi="Arial" w:cs="Arial"/>
          <w:sz w:val="21"/>
          <w:szCs w:val="21"/>
        </w:rPr>
        <w:t xml:space="preserve"> Elton Dajti </w:t>
      </w:r>
      <w:r w:rsidR="00034CBD" w:rsidRPr="001916DF">
        <w:rPr>
          <w:rFonts w:ascii="Arial" w:hAnsi="Arial" w:cs="Arial"/>
          <w:sz w:val="21"/>
          <w:szCs w:val="21"/>
          <w:vertAlign w:val="superscript"/>
        </w:rPr>
        <w:t>1</w:t>
      </w:r>
      <w:r w:rsidR="00CB7227" w:rsidRPr="001916DF">
        <w:rPr>
          <w:rFonts w:ascii="Arial" w:hAnsi="Arial" w:cs="Arial"/>
          <w:sz w:val="21"/>
          <w:szCs w:val="21"/>
        </w:rPr>
        <w:t xml:space="preserve">, </w:t>
      </w:r>
      <w:r w:rsidR="00142768" w:rsidRPr="001916DF">
        <w:rPr>
          <w:rFonts w:ascii="Arial" w:hAnsi="Arial" w:cs="Arial"/>
          <w:sz w:val="21"/>
          <w:szCs w:val="21"/>
        </w:rPr>
        <w:t>Maurizio Pompili</w:t>
      </w:r>
      <w:r w:rsidR="00142768" w:rsidRPr="001916DF">
        <w:rPr>
          <w:rFonts w:ascii="Arial" w:hAnsi="Arial" w:cs="Arial"/>
          <w:sz w:val="21"/>
          <w:szCs w:val="21"/>
          <w:vertAlign w:val="superscript"/>
        </w:rPr>
        <w:t>6</w:t>
      </w:r>
      <w:r w:rsidR="00142768" w:rsidRPr="001916DF">
        <w:rPr>
          <w:rFonts w:ascii="Arial" w:hAnsi="Arial" w:cs="Arial"/>
          <w:sz w:val="21"/>
          <w:szCs w:val="21"/>
        </w:rPr>
        <w:t xml:space="preserve">, </w:t>
      </w:r>
      <w:r w:rsidR="005A711B" w:rsidRPr="001916DF">
        <w:rPr>
          <w:rFonts w:ascii="Arial" w:hAnsi="Arial" w:cs="Arial"/>
          <w:sz w:val="21"/>
          <w:szCs w:val="21"/>
        </w:rPr>
        <w:t>Stefania Bramanti</w:t>
      </w:r>
      <w:r w:rsidR="00142768" w:rsidRPr="001916DF">
        <w:rPr>
          <w:rFonts w:ascii="Arial" w:hAnsi="Arial" w:cs="Arial"/>
          <w:sz w:val="21"/>
          <w:szCs w:val="21"/>
          <w:vertAlign w:val="superscript"/>
        </w:rPr>
        <w:t>5</w:t>
      </w:r>
      <w:r w:rsidR="00A0718A" w:rsidRPr="001916DF">
        <w:rPr>
          <w:rFonts w:ascii="Arial" w:hAnsi="Arial" w:cs="Arial"/>
          <w:sz w:val="21"/>
          <w:szCs w:val="21"/>
        </w:rPr>
        <w:t xml:space="preserve">, </w:t>
      </w:r>
      <w:r w:rsidR="00CB7227" w:rsidRPr="001916DF">
        <w:rPr>
          <w:rFonts w:ascii="Arial" w:hAnsi="Arial" w:cs="Arial"/>
          <w:sz w:val="21"/>
          <w:szCs w:val="21"/>
        </w:rPr>
        <w:t>Alessandro Ramba</w:t>
      </w:r>
      <w:r w:rsidR="00227CDA" w:rsidRPr="001916DF">
        <w:rPr>
          <w:rFonts w:ascii="Arial" w:hAnsi="Arial" w:cs="Arial"/>
          <w:sz w:val="21"/>
          <w:szCs w:val="21"/>
        </w:rPr>
        <w:t>l</w:t>
      </w:r>
      <w:r w:rsidR="00CB7227" w:rsidRPr="001916DF">
        <w:rPr>
          <w:rFonts w:ascii="Arial" w:hAnsi="Arial" w:cs="Arial"/>
          <w:sz w:val="21"/>
          <w:szCs w:val="21"/>
        </w:rPr>
        <w:t>di</w:t>
      </w:r>
      <w:r w:rsidR="00142768" w:rsidRPr="001916DF">
        <w:rPr>
          <w:rFonts w:ascii="Arial" w:hAnsi="Arial" w:cs="Arial"/>
          <w:sz w:val="21"/>
          <w:szCs w:val="21"/>
          <w:vertAlign w:val="superscript"/>
        </w:rPr>
        <w:t>4</w:t>
      </w:r>
      <w:r w:rsidR="00142768" w:rsidRPr="001916DF">
        <w:rPr>
          <w:rFonts w:ascii="Arial" w:hAnsi="Arial" w:cs="Arial"/>
          <w:sz w:val="21"/>
          <w:szCs w:val="21"/>
        </w:rPr>
        <w:t xml:space="preserve">, </w:t>
      </w:r>
      <w:r w:rsidR="00227CDA" w:rsidRPr="001916DF">
        <w:rPr>
          <w:rFonts w:ascii="Arial" w:hAnsi="Arial" w:cs="Arial"/>
          <w:sz w:val="21"/>
          <w:szCs w:val="21"/>
        </w:rPr>
        <w:t>Francesco Quagliarella</w:t>
      </w:r>
      <w:r w:rsidR="00CB7227" w:rsidRPr="001916DF">
        <w:rPr>
          <w:rFonts w:ascii="Arial" w:hAnsi="Arial" w:cs="Arial"/>
          <w:sz w:val="21"/>
          <w:szCs w:val="21"/>
          <w:vertAlign w:val="superscript"/>
        </w:rPr>
        <w:t>7</w:t>
      </w:r>
      <w:r w:rsidR="00CB7227" w:rsidRPr="001916DF">
        <w:rPr>
          <w:rFonts w:ascii="Arial" w:hAnsi="Arial" w:cs="Arial"/>
          <w:sz w:val="21"/>
          <w:szCs w:val="21"/>
        </w:rPr>
        <w:t xml:space="preserve">, </w:t>
      </w:r>
      <w:r w:rsidR="001220C3" w:rsidRPr="001916DF">
        <w:rPr>
          <w:rFonts w:ascii="Arial" w:hAnsi="Arial" w:cs="Arial"/>
          <w:sz w:val="21"/>
          <w:szCs w:val="21"/>
        </w:rPr>
        <w:t xml:space="preserve">Fabio </w:t>
      </w:r>
      <w:r w:rsidRPr="001916DF">
        <w:rPr>
          <w:rFonts w:ascii="Arial" w:hAnsi="Arial" w:cs="Arial"/>
          <w:sz w:val="21"/>
          <w:szCs w:val="21"/>
        </w:rPr>
        <w:t>Ciceri</w:t>
      </w:r>
      <w:r w:rsidR="001220C3" w:rsidRPr="001916DF">
        <w:rPr>
          <w:rFonts w:ascii="Arial" w:hAnsi="Arial" w:cs="Arial"/>
          <w:sz w:val="21"/>
          <w:szCs w:val="21"/>
          <w:vertAlign w:val="superscript"/>
        </w:rPr>
        <w:t>3</w:t>
      </w:r>
      <w:r w:rsidRPr="001916DF">
        <w:rPr>
          <w:rFonts w:ascii="Arial" w:hAnsi="Arial" w:cs="Arial"/>
          <w:sz w:val="21"/>
          <w:szCs w:val="21"/>
        </w:rPr>
        <w:t>,</w:t>
      </w:r>
      <w:r w:rsidR="00CB7227" w:rsidRPr="001916DF">
        <w:rPr>
          <w:rFonts w:ascii="Arial" w:hAnsi="Arial" w:cs="Arial"/>
          <w:sz w:val="21"/>
          <w:szCs w:val="21"/>
        </w:rPr>
        <w:t xml:space="preserve"> </w:t>
      </w:r>
      <w:r w:rsidRPr="001916DF">
        <w:rPr>
          <w:rFonts w:ascii="Arial" w:hAnsi="Arial" w:cs="Arial"/>
          <w:sz w:val="21"/>
          <w:szCs w:val="21"/>
        </w:rPr>
        <w:t xml:space="preserve">Arcangelo Prete </w:t>
      </w:r>
      <w:r w:rsidRPr="001916DF">
        <w:rPr>
          <w:rFonts w:ascii="Arial" w:hAnsi="Arial" w:cs="Arial"/>
          <w:sz w:val="21"/>
          <w:szCs w:val="21"/>
          <w:vertAlign w:val="superscript"/>
        </w:rPr>
        <w:t>1</w:t>
      </w:r>
      <w:r w:rsidRPr="001916DF">
        <w:rPr>
          <w:rFonts w:ascii="Arial" w:hAnsi="Arial" w:cs="Arial"/>
          <w:sz w:val="21"/>
          <w:szCs w:val="21"/>
        </w:rPr>
        <w:t xml:space="preserve">, Andrea Pession </w:t>
      </w:r>
      <w:r w:rsidRPr="001916DF">
        <w:rPr>
          <w:rFonts w:ascii="Arial" w:hAnsi="Arial" w:cs="Arial"/>
          <w:sz w:val="21"/>
          <w:szCs w:val="21"/>
          <w:vertAlign w:val="superscript"/>
        </w:rPr>
        <w:t>1</w:t>
      </w:r>
      <w:r w:rsidRPr="001916DF">
        <w:rPr>
          <w:rFonts w:ascii="Arial" w:hAnsi="Arial" w:cs="Arial"/>
          <w:sz w:val="21"/>
          <w:szCs w:val="21"/>
        </w:rPr>
        <w:t>,</w:t>
      </w:r>
      <w:r w:rsidR="00A0718A" w:rsidRPr="001916DF">
        <w:rPr>
          <w:rFonts w:ascii="Arial" w:hAnsi="Arial" w:cs="Arial"/>
          <w:sz w:val="21"/>
          <w:szCs w:val="21"/>
        </w:rPr>
        <w:t xml:space="preserve"> </w:t>
      </w:r>
      <w:r w:rsidRPr="001916DF">
        <w:rPr>
          <w:rFonts w:ascii="Arial" w:hAnsi="Arial" w:cs="Arial"/>
          <w:sz w:val="21"/>
          <w:szCs w:val="21"/>
        </w:rPr>
        <w:t xml:space="preserve">Davide Festi </w:t>
      </w:r>
      <w:r w:rsidRPr="001916DF">
        <w:rPr>
          <w:rFonts w:ascii="Arial" w:hAnsi="Arial" w:cs="Arial"/>
          <w:sz w:val="21"/>
          <w:szCs w:val="21"/>
          <w:vertAlign w:val="superscript"/>
        </w:rPr>
        <w:t>1</w:t>
      </w:r>
      <w:r w:rsidRPr="001916DF">
        <w:rPr>
          <w:rFonts w:ascii="Arial" w:hAnsi="Arial" w:cs="Arial"/>
          <w:sz w:val="21"/>
          <w:szCs w:val="21"/>
        </w:rPr>
        <w:t>, Francesca Bonifazi</w:t>
      </w:r>
      <w:r w:rsidRPr="001916DF">
        <w:rPr>
          <w:rFonts w:ascii="Arial" w:hAnsi="Arial" w:cs="Arial"/>
          <w:sz w:val="21"/>
          <w:szCs w:val="21"/>
          <w:vertAlign w:val="superscript"/>
        </w:rPr>
        <w:t>1</w:t>
      </w:r>
      <w:r w:rsidRPr="001916DF">
        <w:rPr>
          <w:rFonts w:ascii="Arial" w:hAnsi="Arial" w:cs="Arial"/>
          <w:sz w:val="21"/>
          <w:szCs w:val="21"/>
        </w:rPr>
        <w:t xml:space="preserve"> o</w:t>
      </w:r>
      <w:r w:rsidRPr="00A0718A">
        <w:rPr>
          <w:rFonts w:ascii="Arial" w:hAnsi="Arial" w:cs="Arial"/>
          <w:sz w:val="21"/>
          <w:szCs w:val="21"/>
        </w:rPr>
        <w:t xml:space="preserve">n behalf of </w:t>
      </w:r>
      <w:commentRangeStart w:id="0"/>
      <w:commentRangeStart w:id="1"/>
      <w:r w:rsidRPr="00A0718A">
        <w:rPr>
          <w:rFonts w:ascii="Arial" w:hAnsi="Arial" w:cs="Arial"/>
          <w:b/>
          <w:bCs/>
          <w:sz w:val="21"/>
          <w:szCs w:val="21"/>
        </w:rPr>
        <w:t>ELASTOVOD/SOS Study Group</w:t>
      </w:r>
      <w:commentRangeEnd w:id="0"/>
      <w:r w:rsidRPr="00061511">
        <w:rPr>
          <w:rStyle w:val="Rimandocommento"/>
          <w:rFonts w:asciiTheme="minorHAnsi" w:eastAsiaTheme="minorHAnsi" w:hAnsiTheme="minorHAnsi" w:cstheme="minorBidi"/>
          <w:lang w:eastAsia="en-US"/>
        </w:rPr>
        <w:commentReference w:id="0"/>
      </w:r>
      <w:commentRangeEnd w:id="1"/>
      <w:r w:rsidR="00DF3A50">
        <w:rPr>
          <w:rStyle w:val="Rimandocommento"/>
          <w:rFonts w:asciiTheme="minorHAnsi" w:eastAsiaTheme="minorHAnsi" w:hAnsiTheme="minorHAnsi" w:cstheme="minorBidi"/>
          <w:lang w:eastAsia="en-US"/>
        </w:rPr>
        <w:commentReference w:id="1"/>
      </w:r>
      <w:r w:rsidRPr="00A0718A">
        <w:rPr>
          <w:rFonts w:ascii="Arial" w:hAnsi="Arial" w:cs="Arial"/>
          <w:sz w:val="21"/>
          <w:szCs w:val="21"/>
        </w:rPr>
        <w:t>*</w:t>
      </w:r>
    </w:p>
    <w:p w14:paraId="57A56F54" w14:textId="77777777" w:rsidR="00690A84" w:rsidRPr="00A0718A" w:rsidRDefault="00690A84" w:rsidP="00690A84">
      <w:pPr>
        <w:spacing w:line="360" w:lineRule="auto"/>
        <w:rPr>
          <w:rFonts w:ascii="Arial" w:hAnsi="Arial" w:cs="Arial"/>
          <w:b/>
          <w:bCs/>
          <w:sz w:val="18"/>
          <w:szCs w:val="18"/>
        </w:rPr>
      </w:pPr>
    </w:p>
    <w:p w14:paraId="00ACCE99" w14:textId="77777777" w:rsidR="00545CBB" w:rsidRPr="00D1560C" w:rsidRDefault="00DB770B" w:rsidP="00407767">
      <w:pPr>
        <w:spacing w:line="360" w:lineRule="auto"/>
        <w:jc w:val="both"/>
        <w:rPr>
          <w:rFonts w:ascii="Arial" w:hAnsi="Arial" w:cs="Arial"/>
          <w:b/>
          <w:bCs/>
          <w:sz w:val="16"/>
          <w:szCs w:val="16"/>
        </w:rPr>
      </w:pPr>
      <w:r w:rsidRPr="00D1560C">
        <w:rPr>
          <w:rFonts w:ascii="Arial" w:hAnsi="Arial" w:cs="Arial"/>
          <w:b/>
          <w:bCs/>
          <w:sz w:val="16"/>
          <w:szCs w:val="16"/>
        </w:rPr>
        <w:t>Affiliation</w:t>
      </w:r>
      <w:r w:rsidR="001A4B6F" w:rsidRPr="00D1560C">
        <w:rPr>
          <w:rFonts w:ascii="Arial" w:hAnsi="Arial" w:cs="Arial"/>
          <w:b/>
          <w:bCs/>
          <w:sz w:val="16"/>
          <w:szCs w:val="16"/>
        </w:rPr>
        <w:t>s</w:t>
      </w:r>
      <w:r w:rsidRPr="00D1560C">
        <w:rPr>
          <w:rFonts w:ascii="Arial" w:hAnsi="Arial" w:cs="Arial"/>
          <w:b/>
          <w:bCs/>
          <w:sz w:val="16"/>
          <w:szCs w:val="16"/>
        </w:rPr>
        <w:t>:</w:t>
      </w:r>
    </w:p>
    <w:p w14:paraId="689FE8E2" w14:textId="77777777" w:rsidR="00061511" w:rsidRPr="00061511" w:rsidRDefault="00061511" w:rsidP="00061511">
      <w:pPr>
        <w:textAlignment w:val="baseline"/>
        <w:rPr>
          <w:rFonts w:ascii="Arial" w:hAnsi="Arial" w:cs="Arial"/>
          <w:i/>
          <w:iCs/>
          <w:sz w:val="13"/>
          <w:szCs w:val="13"/>
        </w:rPr>
      </w:pPr>
      <w:r w:rsidRPr="00061511">
        <w:rPr>
          <w:rFonts w:ascii="Arial" w:hAnsi="Arial" w:cs="Arial"/>
          <w:i/>
          <w:iCs/>
          <w:sz w:val="13"/>
          <w:szCs w:val="13"/>
        </w:rPr>
        <w:t>1 IRCCS Azienda Ospedaliero-Universitaria di Bologna, Bologna Italy</w:t>
      </w:r>
    </w:p>
    <w:p w14:paraId="59B62255" w14:textId="77777777" w:rsidR="00061511" w:rsidRPr="00061511" w:rsidRDefault="00061511" w:rsidP="00061511">
      <w:pPr>
        <w:textAlignment w:val="baseline"/>
        <w:rPr>
          <w:rFonts w:ascii="Arial" w:hAnsi="Arial" w:cs="Arial"/>
          <w:i/>
          <w:iCs/>
          <w:sz w:val="13"/>
          <w:szCs w:val="13"/>
          <w:lang w:val="en-US"/>
        </w:rPr>
      </w:pPr>
      <w:r w:rsidRPr="00061511">
        <w:rPr>
          <w:rFonts w:ascii="Arial" w:hAnsi="Arial" w:cs="Arial"/>
          <w:i/>
          <w:iCs/>
          <w:sz w:val="13"/>
          <w:szCs w:val="13"/>
          <w:lang w:val="en-US"/>
        </w:rPr>
        <w:t>2 Gastroenterology Unit, Department of Medical Specialities (CHIMOMO), University of Modena and Reggio Emilia, Italy</w:t>
      </w:r>
    </w:p>
    <w:p w14:paraId="3B500254" w14:textId="77777777" w:rsidR="00061511" w:rsidRPr="00061511" w:rsidRDefault="00061511" w:rsidP="00061511">
      <w:pPr>
        <w:textAlignment w:val="baseline"/>
        <w:rPr>
          <w:rFonts w:ascii="Arial" w:hAnsi="Arial" w:cs="Arial"/>
          <w:i/>
          <w:iCs/>
          <w:sz w:val="13"/>
          <w:szCs w:val="13"/>
          <w:lang w:val="en-US"/>
        </w:rPr>
      </w:pPr>
      <w:r w:rsidRPr="00061511">
        <w:rPr>
          <w:rFonts w:ascii="Arial" w:hAnsi="Arial" w:cs="Arial"/>
          <w:i/>
          <w:iCs/>
          <w:sz w:val="13"/>
          <w:szCs w:val="13"/>
          <w:lang w:val="en-US"/>
        </w:rPr>
        <w:t>3 Unit of Hematology and Bone Marrow Transplantation, Division of Regenerative Medicine, Stem Cells and Gene Therapy, IRCCS San Raffaele Scientific Institute, Milan, Italy.</w:t>
      </w:r>
    </w:p>
    <w:p w14:paraId="07761621" w14:textId="77777777" w:rsidR="00061511" w:rsidRPr="00061511" w:rsidRDefault="00061511" w:rsidP="00061511">
      <w:pPr>
        <w:textAlignment w:val="baseline"/>
        <w:rPr>
          <w:rFonts w:ascii="Arial" w:hAnsi="Arial" w:cs="Arial"/>
          <w:i/>
          <w:iCs/>
          <w:sz w:val="13"/>
          <w:szCs w:val="13"/>
        </w:rPr>
      </w:pPr>
      <w:r w:rsidRPr="00061511">
        <w:rPr>
          <w:rFonts w:ascii="Arial" w:hAnsi="Arial" w:cs="Arial"/>
          <w:i/>
          <w:iCs/>
          <w:sz w:val="13"/>
          <w:szCs w:val="13"/>
        </w:rPr>
        <w:t>4 ASST Papa Giovanni XXIII, Bergamo, Italy.</w:t>
      </w:r>
    </w:p>
    <w:p w14:paraId="583B99A6" w14:textId="77777777" w:rsidR="00061511" w:rsidRPr="00061511" w:rsidRDefault="00061511" w:rsidP="00061511">
      <w:pPr>
        <w:textAlignment w:val="baseline"/>
        <w:rPr>
          <w:rFonts w:ascii="Arial" w:hAnsi="Arial" w:cs="Arial"/>
          <w:i/>
          <w:iCs/>
          <w:sz w:val="13"/>
          <w:szCs w:val="13"/>
          <w:lang w:val="en-US"/>
        </w:rPr>
      </w:pPr>
      <w:r w:rsidRPr="00061511">
        <w:rPr>
          <w:rFonts w:ascii="Arial" w:hAnsi="Arial" w:cs="Arial"/>
          <w:i/>
          <w:iCs/>
          <w:sz w:val="13"/>
          <w:szCs w:val="13"/>
          <w:lang w:val="en-US"/>
        </w:rPr>
        <w:t>5 Bone Marrow Unit, Humanitas Cancer Center, Rozzano, Milan, Italy.</w:t>
      </w:r>
    </w:p>
    <w:p w14:paraId="01824ED9" w14:textId="77777777" w:rsidR="00061511" w:rsidRPr="00061511" w:rsidRDefault="00061511" w:rsidP="00061511">
      <w:pPr>
        <w:textAlignment w:val="baseline"/>
        <w:rPr>
          <w:rFonts w:ascii="Arial" w:hAnsi="Arial" w:cs="Arial"/>
          <w:i/>
          <w:iCs/>
          <w:sz w:val="13"/>
          <w:szCs w:val="13"/>
          <w:lang w:val="en-US"/>
        </w:rPr>
      </w:pPr>
      <w:r w:rsidRPr="00061511">
        <w:rPr>
          <w:rFonts w:ascii="Arial" w:hAnsi="Arial" w:cs="Arial"/>
          <w:i/>
          <w:iCs/>
          <w:sz w:val="13"/>
          <w:szCs w:val="13"/>
          <w:lang w:val="en-US"/>
        </w:rPr>
        <w:t>6 Department of Hematology Catholic University of Sacred Heart, Rome, Italy.</w:t>
      </w:r>
    </w:p>
    <w:p w14:paraId="7F1790A1" w14:textId="77777777" w:rsidR="00061511" w:rsidRPr="00061511" w:rsidRDefault="00061511" w:rsidP="00061511">
      <w:pPr>
        <w:textAlignment w:val="baseline"/>
        <w:rPr>
          <w:rFonts w:ascii="Arial" w:hAnsi="Arial" w:cs="Arial"/>
          <w:i/>
          <w:iCs/>
          <w:sz w:val="13"/>
          <w:szCs w:val="13"/>
          <w:lang w:val="en-US"/>
        </w:rPr>
      </w:pPr>
      <w:r w:rsidRPr="00061511">
        <w:rPr>
          <w:rFonts w:ascii="Arial" w:hAnsi="Arial" w:cs="Arial"/>
          <w:i/>
          <w:iCs/>
          <w:sz w:val="13"/>
          <w:szCs w:val="13"/>
          <w:lang w:val="en-US"/>
        </w:rPr>
        <w:t>7 Department of Hematology/Oncology, IRCCS Ospedale Pediatrico Bambino Gesù, Rome, Italy; Department of Gynecology/Obstetrics and Pediatrics, Sapienza University, Rome, Italy.</w:t>
      </w:r>
    </w:p>
    <w:p w14:paraId="46145A5D" w14:textId="77777777" w:rsidR="00061511" w:rsidRPr="00061511" w:rsidRDefault="00061511" w:rsidP="00061511">
      <w:pPr>
        <w:textAlignment w:val="baseline"/>
        <w:rPr>
          <w:rFonts w:ascii="Arial" w:hAnsi="Arial" w:cs="Arial"/>
          <w:i/>
          <w:iCs/>
          <w:sz w:val="13"/>
          <w:szCs w:val="13"/>
        </w:rPr>
      </w:pPr>
      <w:r w:rsidRPr="00061511">
        <w:rPr>
          <w:rFonts w:ascii="Arial" w:hAnsi="Arial" w:cs="Arial"/>
          <w:i/>
          <w:iCs/>
          <w:sz w:val="13"/>
          <w:szCs w:val="13"/>
        </w:rPr>
        <w:t>8 Oncoematologia Pediatrica, Azienda Ospedaliera Universitaria Integrata, Verona, Italy.</w:t>
      </w:r>
    </w:p>
    <w:p w14:paraId="15DB7A21" w14:textId="77777777" w:rsidR="00061511" w:rsidRPr="00061511" w:rsidRDefault="00061511" w:rsidP="00061511">
      <w:pPr>
        <w:textAlignment w:val="baseline"/>
        <w:rPr>
          <w:rFonts w:ascii="Arial" w:hAnsi="Arial" w:cs="Arial"/>
          <w:i/>
          <w:iCs/>
          <w:sz w:val="13"/>
          <w:szCs w:val="13"/>
          <w:lang w:val="en-US"/>
        </w:rPr>
      </w:pPr>
      <w:r w:rsidRPr="00061511">
        <w:rPr>
          <w:rFonts w:ascii="Arial" w:hAnsi="Arial" w:cs="Arial"/>
          <w:i/>
          <w:iCs/>
          <w:sz w:val="13"/>
          <w:szCs w:val="13"/>
          <w:lang w:val="en-US"/>
        </w:rPr>
        <w:t>9 Department of Cellular Therapies and Transfusion Medicine, Careggi University Hospital, Florence, Italy.</w:t>
      </w:r>
    </w:p>
    <w:p w14:paraId="1FE8FD63" w14:textId="77777777" w:rsidR="00061511" w:rsidRPr="00061511" w:rsidRDefault="00061511" w:rsidP="00061511">
      <w:pPr>
        <w:textAlignment w:val="baseline"/>
        <w:rPr>
          <w:rFonts w:ascii="Arial" w:hAnsi="Arial" w:cs="Arial"/>
          <w:i/>
          <w:iCs/>
          <w:sz w:val="13"/>
          <w:szCs w:val="13"/>
          <w:lang w:val="en-US"/>
        </w:rPr>
      </w:pPr>
      <w:r w:rsidRPr="00061511">
        <w:rPr>
          <w:rFonts w:ascii="Arial" w:hAnsi="Arial" w:cs="Arial"/>
          <w:i/>
          <w:iCs/>
          <w:sz w:val="13"/>
          <w:szCs w:val="13"/>
          <w:lang w:val="en-US"/>
        </w:rPr>
        <w:t>10 Department of Translational and Precision Medicine, Division of Allogeneic Transplantation, "Sapienza" University of Rome, Rome, Italy.</w:t>
      </w:r>
    </w:p>
    <w:p w14:paraId="484D77AF" w14:textId="77777777" w:rsidR="00061511" w:rsidRPr="00061511" w:rsidRDefault="00061511" w:rsidP="00061511">
      <w:pPr>
        <w:textAlignment w:val="baseline"/>
        <w:rPr>
          <w:rFonts w:ascii="Arial" w:hAnsi="Arial" w:cs="Arial"/>
          <w:i/>
          <w:iCs/>
          <w:sz w:val="13"/>
          <w:szCs w:val="13"/>
          <w:lang w:val="en-US"/>
        </w:rPr>
      </w:pPr>
      <w:r w:rsidRPr="00061511">
        <w:rPr>
          <w:rFonts w:ascii="Arial" w:hAnsi="Arial" w:cs="Arial"/>
          <w:i/>
          <w:iCs/>
          <w:sz w:val="13"/>
          <w:szCs w:val="13"/>
          <w:lang w:val="en-US"/>
        </w:rPr>
        <w:t xml:space="preserve">11 Hematology and BMT Unit, Azienda Ospedaliero-Universitaria di Parma and Department of Medicine and Surgery, University of Parma, Italy. </w:t>
      </w:r>
    </w:p>
    <w:p w14:paraId="5EF561AB" w14:textId="77777777" w:rsidR="00061511" w:rsidRPr="00061511" w:rsidRDefault="00061511" w:rsidP="00061511">
      <w:pPr>
        <w:textAlignment w:val="baseline"/>
        <w:rPr>
          <w:rFonts w:ascii="Arial" w:hAnsi="Arial" w:cs="Arial"/>
          <w:i/>
          <w:iCs/>
          <w:sz w:val="13"/>
          <w:szCs w:val="13"/>
          <w:lang w:val="en-US"/>
        </w:rPr>
      </w:pPr>
      <w:r w:rsidRPr="00061511">
        <w:rPr>
          <w:rFonts w:ascii="Arial" w:hAnsi="Arial" w:cs="Arial"/>
          <w:i/>
          <w:iCs/>
          <w:sz w:val="13"/>
          <w:szCs w:val="13"/>
          <w:lang w:val="en-US"/>
        </w:rPr>
        <w:t>12 Department of Hematology, Transfusion Medicine and Biotechnologies, Ospedale Civile, Pescara, Italy.</w:t>
      </w:r>
    </w:p>
    <w:p w14:paraId="06B0C8F2" w14:textId="77777777" w:rsidR="00061511" w:rsidRPr="00061511" w:rsidRDefault="00061511" w:rsidP="00061511">
      <w:pPr>
        <w:textAlignment w:val="baseline"/>
        <w:rPr>
          <w:rFonts w:ascii="Arial" w:hAnsi="Arial" w:cs="Arial"/>
          <w:i/>
          <w:iCs/>
          <w:sz w:val="13"/>
          <w:szCs w:val="13"/>
        </w:rPr>
      </w:pPr>
      <w:r w:rsidRPr="00061511">
        <w:rPr>
          <w:rFonts w:ascii="Arial" w:hAnsi="Arial" w:cs="Arial"/>
          <w:i/>
          <w:iCs/>
          <w:sz w:val="13"/>
          <w:szCs w:val="13"/>
        </w:rPr>
        <w:t>13 Pediatric Onco-Hematology, Città della Salute e della Scienza di Torino, Turin, Italy.</w:t>
      </w:r>
    </w:p>
    <w:p w14:paraId="4719AE00" w14:textId="77777777" w:rsidR="00061511" w:rsidRPr="00061511" w:rsidRDefault="00061511" w:rsidP="00061511">
      <w:pPr>
        <w:textAlignment w:val="baseline"/>
        <w:rPr>
          <w:rFonts w:ascii="Arial" w:hAnsi="Arial" w:cs="Arial"/>
          <w:i/>
          <w:iCs/>
          <w:sz w:val="13"/>
          <w:szCs w:val="13"/>
        </w:rPr>
      </w:pPr>
      <w:r w:rsidRPr="00061511">
        <w:rPr>
          <w:rFonts w:ascii="Arial" w:hAnsi="Arial" w:cs="Arial"/>
          <w:i/>
          <w:iCs/>
          <w:sz w:val="13"/>
          <w:szCs w:val="13"/>
        </w:rPr>
        <w:t>14 Clinica di Ematologia Azienda Ospedaliero-Universitaria, Ospedali Riuniti di Ancona, Ancona, Italy.</w:t>
      </w:r>
    </w:p>
    <w:p w14:paraId="3F3517C8" w14:textId="77777777" w:rsidR="00061511" w:rsidRPr="00061511" w:rsidRDefault="00061511" w:rsidP="00061511">
      <w:pPr>
        <w:textAlignment w:val="baseline"/>
        <w:rPr>
          <w:rFonts w:ascii="Arial" w:hAnsi="Arial" w:cs="Arial"/>
          <w:i/>
          <w:iCs/>
          <w:sz w:val="13"/>
          <w:szCs w:val="13"/>
        </w:rPr>
      </w:pPr>
      <w:r w:rsidRPr="00061511">
        <w:rPr>
          <w:rFonts w:ascii="Arial" w:hAnsi="Arial" w:cs="Arial"/>
          <w:i/>
          <w:iCs/>
          <w:sz w:val="13"/>
          <w:szCs w:val="13"/>
        </w:rPr>
        <w:t>15 Gastroenterology Unit, Città della salute e della scienza, Turin, Italy.</w:t>
      </w:r>
    </w:p>
    <w:p w14:paraId="72DE2F11" w14:textId="77777777" w:rsidR="00061511" w:rsidRPr="00061511" w:rsidRDefault="00061511" w:rsidP="00061511">
      <w:pPr>
        <w:textAlignment w:val="baseline"/>
        <w:rPr>
          <w:rFonts w:ascii="Arial" w:hAnsi="Arial" w:cs="Arial"/>
          <w:i/>
          <w:iCs/>
          <w:sz w:val="13"/>
          <w:szCs w:val="13"/>
          <w:lang w:val="en-US"/>
        </w:rPr>
      </w:pPr>
      <w:r w:rsidRPr="00061511">
        <w:rPr>
          <w:rFonts w:ascii="Arial" w:hAnsi="Arial" w:cs="Arial"/>
          <w:i/>
          <w:iCs/>
          <w:sz w:val="13"/>
          <w:szCs w:val="13"/>
          <w:lang w:val="en-US"/>
        </w:rPr>
        <w:t>16 Department of Emergency and Organ Transplantation (D.E.T.O.), Hematology Section, University of Bari, Italy</w:t>
      </w:r>
    </w:p>
    <w:p w14:paraId="50C09018" w14:textId="77777777" w:rsidR="00061511" w:rsidRPr="00061511" w:rsidRDefault="00061511" w:rsidP="00061511">
      <w:pPr>
        <w:textAlignment w:val="baseline"/>
        <w:rPr>
          <w:rFonts w:ascii="Arial" w:hAnsi="Arial" w:cs="Arial"/>
          <w:i/>
          <w:iCs/>
          <w:sz w:val="13"/>
          <w:szCs w:val="13"/>
          <w:lang w:val="en-US"/>
        </w:rPr>
      </w:pPr>
      <w:r w:rsidRPr="00061511">
        <w:rPr>
          <w:rFonts w:ascii="Arial" w:hAnsi="Arial" w:cs="Arial"/>
          <w:i/>
          <w:iCs/>
          <w:sz w:val="13"/>
          <w:szCs w:val="13"/>
          <w:lang w:val="en-US"/>
        </w:rPr>
        <w:t>17 Hematology Unit, Department of Oncology, University of Pisa, Italy.</w:t>
      </w:r>
    </w:p>
    <w:p w14:paraId="0664B85F" w14:textId="77777777" w:rsidR="00061511" w:rsidRPr="00061511" w:rsidRDefault="00061511" w:rsidP="00061511">
      <w:pPr>
        <w:textAlignment w:val="baseline"/>
        <w:rPr>
          <w:rFonts w:ascii="Arial" w:hAnsi="Arial" w:cs="Arial"/>
          <w:i/>
          <w:iCs/>
          <w:sz w:val="13"/>
          <w:szCs w:val="13"/>
        </w:rPr>
      </w:pPr>
      <w:r w:rsidRPr="00061511">
        <w:rPr>
          <w:rFonts w:ascii="Arial" w:hAnsi="Arial" w:cs="Arial"/>
          <w:i/>
          <w:iCs/>
          <w:sz w:val="13"/>
          <w:szCs w:val="13"/>
        </w:rPr>
        <w:t>18 Hematology Department, SS Antonio &amp; Biagio and C. Arrigo Hospital, Alessandria Italy.</w:t>
      </w:r>
    </w:p>
    <w:p w14:paraId="6101CB35" w14:textId="77777777" w:rsidR="00061511" w:rsidRPr="00061511" w:rsidRDefault="00061511" w:rsidP="00061511">
      <w:pPr>
        <w:textAlignment w:val="baseline"/>
        <w:rPr>
          <w:rFonts w:ascii="Arial" w:hAnsi="Arial" w:cs="Arial"/>
          <w:i/>
          <w:iCs/>
          <w:sz w:val="13"/>
          <w:szCs w:val="13"/>
        </w:rPr>
      </w:pPr>
      <w:r w:rsidRPr="00061511">
        <w:rPr>
          <w:rFonts w:ascii="Arial" w:hAnsi="Arial" w:cs="Arial"/>
          <w:i/>
          <w:iCs/>
          <w:sz w:val="13"/>
          <w:szCs w:val="13"/>
        </w:rPr>
        <w:t>19 UOC di Ematologia e Trapianti di Midollo, Azienda Ospedaliera Universitaria Federico II di Napoli, Napoli, Italy; Dipartimento di Medicina clinica e Chirurgia, Università di Napoli Federico II, Napoli, Italy.</w:t>
      </w:r>
    </w:p>
    <w:p w14:paraId="1CDDA106" w14:textId="77777777" w:rsidR="00061511" w:rsidRPr="00061511" w:rsidRDefault="00061511" w:rsidP="00061511">
      <w:pPr>
        <w:textAlignment w:val="baseline"/>
        <w:rPr>
          <w:rFonts w:ascii="Arial" w:hAnsi="Arial" w:cs="Arial"/>
          <w:i/>
          <w:iCs/>
          <w:sz w:val="13"/>
          <w:szCs w:val="13"/>
        </w:rPr>
      </w:pPr>
      <w:r w:rsidRPr="00061511">
        <w:rPr>
          <w:rFonts w:ascii="Arial" w:hAnsi="Arial" w:cs="Arial"/>
          <w:i/>
          <w:iCs/>
          <w:sz w:val="13"/>
          <w:szCs w:val="13"/>
        </w:rPr>
        <w:t>20 UOC Ematologia, Ospedale dell'Angelo, Venezia, Mestre, Italy.</w:t>
      </w:r>
    </w:p>
    <w:p w14:paraId="7D7724D0" w14:textId="77777777" w:rsidR="00061511" w:rsidRPr="00061511" w:rsidRDefault="00061511" w:rsidP="00061511">
      <w:pPr>
        <w:textAlignment w:val="baseline"/>
        <w:rPr>
          <w:rFonts w:ascii="Arial" w:hAnsi="Arial" w:cs="Arial"/>
          <w:i/>
          <w:iCs/>
          <w:sz w:val="13"/>
          <w:szCs w:val="13"/>
        </w:rPr>
      </w:pPr>
      <w:r w:rsidRPr="00061511">
        <w:rPr>
          <w:rFonts w:ascii="Arial" w:hAnsi="Arial" w:cs="Arial"/>
          <w:i/>
          <w:iCs/>
          <w:sz w:val="13"/>
          <w:szCs w:val="13"/>
        </w:rPr>
        <w:t>21 Pediatric Oncohematology Unit, Azienda Ospedaliera Universitaria Pisana, Pisa, Italy.</w:t>
      </w:r>
    </w:p>
    <w:p w14:paraId="5ECC4442" w14:textId="77777777" w:rsidR="00061511" w:rsidRPr="00061511" w:rsidRDefault="00061511" w:rsidP="00061511">
      <w:pPr>
        <w:textAlignment w:val="baseline"/>
        <w:rPr>
          <w:rFonts w:ascii="Arial" w:hAnsi="Arial" w:cs="Arial"/>
          <w:i/>
          <w:iCs/>
          <w:sz w:val="13"/>
          <w:szCs w:val="13"/>
          <w:lang w:val="en-US"/>
        </w:rPr>
      </w:pPr>
      <w:r w:rsidRPr="00061511">
        <w:rPr>
          <w:rFonts w:ascii="Arial" w:hAnsi="Arial" w:cs="Arial"/>
          <w:i/>
          <w:iCs/>
          <w:sz w:val="13"/>
          <w:szCs w:val="13"/>
          <w:lang w:val="en-US"/>
        </w:rPr>
        <w:t>22 Department of Clinical and Experimental Medicine, Hematology and Bone Marrow Transplant Unit, University of Verona, Verona, Italy.</w:t>
      </w:r>
    </w:p>
    <w:p w14:paraId="5FF7E233" w14:textId="77777777" w:rsidR="004C5935" w:rsidRPr="004F0C0D" w:rsidRDefault="004C5935" w:rsidP="00061511">
      <w:pPr>
        <w:textAlignment w:val="baseline"/>
        <w:rPr>
          <w:rFonts w:ascii="Arial" w:hAnsi="Arial" w:cs="Arial"/>
          <w:i/>
          <w:iCs/>
          <w:sz w:val="13"/>
          <w:szCs w:val="13"/>
          <w:lang w:val="en-US"/>
        </w:rPr>
      </w:pPr>
    </w:p>
    <w:p w14:paraId="6799C959" w14:textId="77777777" w:rsidR="00061511" w:rsidRPr="004F0C0D" w:rsidRDefault="00061511" w:rsidP="00061511">
      <w:pPr>
        <w:textAlignment w:val="baseline"/>
        <w:rPr>
          <w:rFonts w:ascii="Arial" w:hAnsi="Arial" w:cs="Arial"/>
          <w:i/>
          <w:iCs/>
          <w:sz w:val="13"/>
          <w:szCs w:val="13"/>
          <w:lang w:val="en-US"/>
        </w:rPr>
      </w:pPr>
    </w:p>
    <w:p w14:paraId="305D9FE8" w14:textId="72BA13E2" w:rsidR="001E68E8" w:rsidRPr="001E68E8" w:rsidRDefault="001E68E8" w:rsidP="00061511">
      <w:pPr>
        <w:textAlignment w:val="baseline"/>
        <w:rPr>
          <w:rFonts w:ascii="Arial" w:hAnsi="Arial" w:cs="Arial"/>
          <w:sz w:val="16"/>
          <w:szCs w:val="16"/>
          <w:u w:val="single"/>
          <w:lang w:val="en-GB"/>
        </w:rPr>
      </w:pPr>
      <w:r w:rsidRPr="001E68E8">
        <w:rPr>
          <w:rFonts w:ascii="Arial" w:hAnsi="Arial" w:cs="Arial"/>
          <w:sz w:val="16"/>
          <w:szCs w:val="16"/>
          <w:u w:val="single"/>
          <w:vertAlign w:val="superscript"/>
          <w:lang w:val="en-GB"/>
        </w:rPr>
        <w:t>#</w:t>
      </w:r>
      <w:r w:rsidR="00061511">
        <w:rPr>
          <w:rFonts w:ascii="Arial" w:hAnsi="Arial" w:cs="Arial"/>
          <w:sz w:val="16"/>
          <w:szCs w:val="16"/>
          <w:u w:val="single"/>
          <w:lang w:val="en-GB"/>
        </w:rPr>
        <w:t>Federico Ravaioli and A</w:t>
      </w:r>
      <w:r w:rsidRPr="001E68E8">
        <w:rPr>
          <w:rFonts w:ascii="Arial" w:hAnsi="Arial" w:cs="Arial"/>
          <w:sz w:val="16"/>
          <w:szCs w:val="16"/>
          <w:u w:val="single"/>
          <w:lang w:val="en-GB"/>
        </w:rPr>
        <w:t xml:space="preserve">ntonio Colecchia equally contributed to the manuscript as </w:t>
      </w:r>
      <w:r w:rsidR="00376036">
        <w:rPr>
          <w:rFonts w:ascii="Arial" w:hAnsi="Arial" w:cs="Arial"/>
          <w:sz w:val="16"/>
          <w:szCs w:val="16"/>
          <w:u w:val="single"/>
          <w:lang w:val="en-GB"/>
        </w:rPr>
        <w:t xml:space="preserve">the </w:t>
      </w:r>
      <w:r w:rsidR="00061511">
        <w:rPr>
          <w:rFonts w:ascii="Arial" w:hAnsi="Arial" w:cs="Arial"/>
          <w:sz w:val="16"/>
          <w:szCs w:val="16"/>
          <w:u w:val="single"/>
          <w:lang w:val="en-GB"/>
        </w:rPr>
        <w:t>first</w:t>
      </w:r>
      <w:r w:rsidRPr="001E68E8">
        <w:rPr>
          <w:rFonts w:ascii="Arial" w:hAnsi="Arial" w:cs="Arial"/>
          <w:sz w:val="16"/>
          <w:szCs w:val="16"/>
          <w:u w:val="single"/>
          <w:lang w:val="en-GB"/>
        </w:rPr>
        <w:t xml:space="preserve"> authors.</w:t>
      </w:r>
    </w:p>
    <w:p w14:paraId="5161A6BB" w14:textId="77777777" w:rsidR="00D1560C" w:rsidRPr="001E68E8" w:rsidRDefault="00D1560C" w:rsidP="00407767">
      <w:pPr>
        <w:spacing w:line="360" w:lineRule="auto"/>
        <w:jc w:val="both"/>
        <w:rPr>
          <w:rFonts w:ascii="Arial" w:hAnsi="Arial" w:cs="Arial"/>
          <w:i/>
          <w:iCs/>
          <w:sz w:val="15"/>
          <w:szCs w:val="15"/>
          <w:lang w:val="en-US"/>
        </w:rPr>
      </w:pPr>
    </w:p>
    <w:p w14:paraId="3289361E" w14:textId="67A9A095" w:rsidR="00D1560C" w:rsidRPr="00D1560C" w:rsidRDefault="00D1560C" w:rsidP="00407767">
      <w:pPr>
        <w:spacing w:line="360" w:lineRule="auto"/>
        <w:jc w:val="both"/>
        <w:rPr>
          <w:rFonts w:ascii="Arial" w:hAnsi="Arial" w:cs="Arial"/>
          <w:sz w:val="16"/>
          <w:szCs w:val="16"/>
          <w:lang w:val="en-US"/>
        </w:rPr>
      </w:pPr>
      <w:r w:rsidRPr="00D1560C">
        <w:rPr>
          <w:rFonts w:ascii="Arial" w:hAnsi="Arial" w:cs="Arial"/>
          <w:b/>
          <w:bCs/>
          <w:sz w:val="16"/>
          <w:szCs w:val="16"/>
          <w:lang w:val="en-US"/>
        </w:rPr>
        <w:t>Corresponding author</w:t>
      </w:r>
      <w:r w:rsidRPr="00D1560C">
        <w:rPr>
          <w:rFonts w:ascii="Arial" w:hAnsi="Arial" w:cs="Arial"/>
          <w:sz w:val="16"/>
          <w:szCs w:val="16"/>
          <w:lang w:val="en-US"/>
        </w:rPr>
        <w:t xml:space="preserve">: Prof. Antonio Colecchia, Gastroenterology Unit, Department of Medical Specialities (CHIMOMO), University of Modena and Reggio Emilia, Italy; e-mail: </w:t>
      </w:r>
      <w:hyperlink r:id="rId12" w:history="1">
        <w:r w:rsidRPr="0037024A">
          <w:rPr>
            <w:rStyle w:val="Collegamentoipertestuale"/>
            <w:rFonts w:ascii="Arial" w:hAnsi="Arial" w:cs="Arial"/>
            <w:sz w:val="16"/>
            <w:szCs w:val="16"/>
            <w:lang w:val="en-US"/>
          </w:rPr>
          <w:t>antonio.colecchia@unimore.it</w:t>
        </w:r>
      </w:hyperlink>
      <w:r>
        <w:rPr>
          <w:rFonts w:ascii="Arial" w:hAnsi="Arial" w:cs="Arial"/>
          <w:sz w:val="16"/>
          <w:szCs w:val="16"/>
          <w:lang w:val="en-US"/>
        </w:rPr>
        <w:t xml:space="preserve"> </w:t>
      </w:r>
    </w:p>
    <w:p w14:paraId="1106AEA5" w14:textId="77777777" w:rsidR="006E3005" w:rsidRPr="00D1560C" w:rsidRDefault="006E3005" w:rsidP="00407767">
      <w:pPr>
        <w:spacing w:line="360" w:lineRule="auto"/>
        <w:jc w:val="both"/>
        <w:rPr>
          <w:rFonts w:ascii="Arial" w:hAnsi="Arial" w:cs="Arial"/>
          <w:b/>
          <w:bCs/>
          <w:lang w:val="en-US"/>
        </w:rPr>
      </w:pPr>
    </w:p>
    <w:p w14:paraId="73B903B8" w14:textId="77777777" w:rsidR="004F6B1E" w:rsidRDefault="004F6B1E" w:rsidP="00407767">
      <w:pPr>
        <w:spacing w:line="360" w:lineRule="auto"/>
        <w:jc w:val="both"/>
        <w:rPr>
          <w:rFonts w:ascii="Arial" w:hAnsi="Arial" w:cs="Arial"/>
          <w:b/>
          <w:bCs/>
          <w:lang w:val="en-GB"/>
        </w:rPr>
      </w:pPr>
    </w:p>
    <w:p w14:paraId="2FCA9817" w14:textId="77777777" w:rsidR="004F6B1E" w:rsidRDefault="004F6B1E" w:rsidP="00407767">
      <w:pPr>
        <w:spacing w:line="360" w:lineRule="auto"/>
        <w:jc w:val="both"/>
        <w:rPr>
          <w:rFonts w:ascii="Arial" w:hAnsi="Arial" w:cs="Arial"/>
          <w:b/>
          <w:bCs/>
          <w:lang w:val="en-GB"/>
        </w:rPr>
      </w:pPr>
    </w:p>
    <w:p w14:paraId="58BFC44C" w14:textId="77777777" w:rsidR="004F6B1E" w:rsidRDefault="004F6B1E" w:rsidP="00407767">
      <w:pPr>
        <w:spacing w:line="360" w:lineRule="auto"/>
        <w:jc w:val="both"/>
        <w:rPr>
          <w:rFonts w:ascii="Arial" w:hAnsi="Arial" w:cs="Arial"/>
          <w:b/>
          <w:bCs/>
          <w:lang w:val="en-GB"/>
        </w:rPr>
      </w:pPr>
    </w:p>
    <w:p w14:paraId="7998C830" w14:textId="77777777" w:rsidR="004F6B1E" w:rsidRDefault="004F6B1E" w:rsidP="00407767">
      <w:pPr>
        <w:spacing w:line="360" w:lineRule="auto"/>
        <w:jc w:val="both"/>
        <w:rPr>
          <w:rFonts w:ascii="Arial" w:hAnsi="Arial" w:cs="Arial"/>
          <w:b/>
          <w:bCs/>
          <w:lang w:val="en-GB"/>
        </w:rPr>
      </w:pPr>
    </w:p>
    <w:p w14:paraId="06FF5BEC" w14:textId="77777777" w:rsidR="00C70BA8" w:rsidRDefault="00C70BA8" w:rsidP="00407767">
      <w:pPr>
        <w:spacing w:line="360" w:lineRule="auto"/>
        <w:jc w:val="both"/>
        <w:rPr>
          <w:rFonts w:ascii="Arial" w:hAnsi="Arial" w:cs="Arial"/>
          <w:b/>
          <w:bCs/>
          <w:lang w:val="en-GB"/>
        </w:rPr>
      </w:pPr>
    </w:p>
    <w:p w14:paraId="292CABC7" w14:textId="77777777" w:rsidR="004F0C0D" w:rsidRDefault="004F0C0D" w:rsidP="00407767">
      <w:pPr>
        <w:spacing w:line="360" w:lineRule="auto"/>
        <w:jc w:val="both"/>
        <w:rPr>
          <w:rFonts w:ascii="Arial" w:hAnsi="Arial" w:cs="Arial"/>
          <w:b/>
          <w:bCs/>
          <w:lang w:val="en-GB"/>
        </w:rPr>
      </w:pPr>
    </w:p>
    <w:p w14:paraId="4866B387" w14:textId="406C8A53" w:rsidR="00D07D40" w:rsidRPr="00BA3910" w:rsidRDefault="00D07D40" w:rsidP="00407767">
      <w:pPr>
        <w:spacing w:line="360" w:lineRule="auto"/>
        <w:jc w:val="both"/>
        <w:rPr>
          <w:rFonts w:ascii="Arial" w:hAnsi="Arial" w:cs="Arial"/>
          <w:b/>
          <w:bCs/>
          <w:lang w:val="en-GB"/>
        </w:rPr>
      </w:pPr>
      <w:r w:rsidRPr="00BA3910">
        <w:rPr>
          <w:rFonts w:ascii="Arial" w:hAnsi="Arial" w:cs="Arial"/>
          <w:b/>
          <w:bCs/>
          <w:lang w:val="en-GB"/>
        </w:rPr>
        <w:lastRenderedPageBreak/>
        <w:t>Research in context</w:t>
      </w:r>
    </w:p>
    <w:p w14:paraId="3D423A1D" w14:textId="77777777" w:rsidR="00281951" w:rsidRPr="00BA3910" w:rsidRDefault="00281951" w:rsidP="00281951">
      <w:pPr>
        <w:spacing w:line="360" w:lineRule="auto"/>
        <w:jc w:val="both"/>
        <w:rPr>
          <w:rFonts w:ascii="Arial" w:hAnsi="Arial" w:cs="Arial"/>
          <w:b/>
          <w:bCs/>
          <w:sz w:val="21"/>
          <w:szCs w:val="21"/>
          <w:u w:val="single"/>
          <w:lang w:val="en-GB"/>
        </w:rPr>
      </w:pPr>
      <w:r w:rsidRPr="00BA3910">
        <w:rPr>
          <w:rFonts w:ascii="Arial" w:hAnsi="Arial" w:cs="Arial"/>
          <w:b/>
          <w:bCs/>
          <w:sz w:val="21"/>
          <w:szCs w:val="21"/>
          <w:u w:val="single"/>
          <w:lang w:val="en-GB"/>
        </w:rPr>
        <w:t xml:space="preserve">Evidence before this study </w:t>
      </w:r>
    </w:p>
    <w:p w14:paraId="4B15BD38" w14:textId="35A84D66" w:rsidR="00A82A28" w:rsidRPr="00BA3910" w:rsidRDefault="00A82A28" w:rsidP="00A82A28">
      <w:pPr>
        <w:shd w:val="clear" w:color="auto" w:fill="FFFFFF"/>
        <w:spacing w:line="360" w:lineRule="auto"/>
        <w:jc w:val="both"/>
        <w:rPr>
          <w:rFonts w:ascii="Arial" w:hAnsi="Arial" w:cs="Arial"/>
          <w:bCs/>
          <w:sz w:val="21"/>
          <w:szCs w:val="21"/>
          <w:lang w:val="en-GB"/>
        </w:rPr>
      </w:pPr>
      <w:r w:rsidRPr="00BA3910">
        <w:rPr>
          <w:rFonts w:ascii="Arial" w:hAnsi="Arial" w:cs="Arial"/>
          <w:bCs/>
          <w:sz w:val="21"/>
          <w:szCs w:val="21"/>
          <w:lang w:val="en-GB"/>
        </w:rPr>
        <w:t>Hepatic veno-occlusive disease (</w:t>
      </w:r>
      <w:r w:rsidR="000D1ED3" w:rsidRPr="00BA3910">
        <w:rPr>
          <w:rFonts w:ascii="Arial" w:hAnsi="Arial" w:cs="Arial"/>
          <w:bCs/>
          <w:sz w:val="21"/>
          <w:szCs w:val="21"/>
          <w:lang w:val="en-GB"/>
        </w:rPr>
        <w:t>VOD/SOS</w:t>
      </w:r>
      <w:r w:rsidRPr="00BA3910">
        <w:rPr>
          <w:rFonts w:ascii="Arial" w:hAnsi="Arial" w:cs="Arial"/>
          <w:bCs/>
          <w:sz w:val="21"/>
          <w:szCs w:val="21"/>
          <w:lang w:val="en-GB"/>
        </w:rPr>
        <w:t xml:space="preserve">) poses a significant threat to patients undergoing hematopoietic stem cell transplantation (HSCT), with mortality rates reaching up to 50-60% within 100 days. The challenges in diagnosing </w:t>
      </w:r>
      <w:r w:rsidR="000D1ED3" w:rsidRPr="00BA3910">
        <w:rPr>
          <w:rFonts w:ascii="Arial" w:hAnsi="Arial" w:cs="Arial"/>
          <w:bCs/>
          <w:sz w:val="21"/>
          <w:szCs w:val="21"/>
          <w:lang w:val="en-GB"/>
        </w:rPr>
        <w:t>VOD/SOS</w:t>
      </w:r>
      <w:r w:rsidRPr="00BA3910">
        <w:rPr>
          <w:rFonts w:ascii="Arial" w:hAnsi="Arial" w:cs="Arial"/>
          <w:bCs/>
          <w:sz w:val="21"/>
          <w:szCs w:val="21"/>
          <w:lang w:val="en-GB"/>
        </w:rPr>
        <w:t xml:space="preserve"> stem from overlapping symptoms with other HSCT complications and the lack of reliable predictors or biomarkers. Previous studies have explored incorporating ultrasonography and liver stiffness measurement (LSM) to enhance </w:t>
      </w:r>
      <w:r w:rsidR="000D1ED3" w:rsidRPr="00BA3910">
        <w:rPr>
          <w:rFonts w:ascii="Arial" w:hAnsi="Arial" w:cs="Arial"/>
          <w:bCs/>
          <w:sz w:val="21"/>
          <w:szCs w:val="21"/>
          <w:lang w:val="en-GB"/>
        </w:rPr>
        <w:t>VOD/SOS</w:t>
      </w:r>
      <w:r w:rsidRPr="00BA3910">
        <w:rPr>
          <w:rFonts w:ascii="Arial" w:hAnsi="Arial" w:cs="Arial"/>
          <w:bCs/>
          <w:sz w:val="21"/>
          <w:szCs w:val="21"/>
          <w:lang w:val="en-GB"/>
        </w:rPr>
        <w:t xml:space="preserve"> detection and diagnosis accuracy.</w:t>
      </w:r>
    </w:p>
    <w:p w14:paraId="21DE76C2" w14:textId="77777777" w:rsidR="000D1ED3" w:rsidRPr="00BA3910" w:rsidRDefault="000D1ED3" w:rsidP="000D1ED3">
      <w:pPr>
        <w:shd w:val="clear" w:color="auto" w:fill="FFFFFF"/>
        <w:spacing w:line="360" w:lineRule="auto"/>
        <w:jc w:val="both"/>
        <w:rPr>
          <w:rFonts w:ascii="Arial" w:hAnsi="Arial" w:cs="Arial"/>
          <w:bCs/>
          <w:sz w:val="21"/>
          <w:szCs w:val="21"/>
          <w:u w:val="single"/>
          <w:lang w:val="en-GB"/>
        </w:rPr>
      </w:pPr>
    </w:p>
    <w:p w14:paraId="40C1A6BD" w14:textId="57466B05" w:rsidR="000D1ED3" w:rsidRPr="00BA3910" w:rsidRDefault="004C5935" w:rsidP="00A82A28">
      <w:pPr>
        <w:shd w:val="clear" w:color="auto" w:fill="FFFFFF"/>
        <w:spacing w:line="360" w:lineRule="auto"/>
        <w:jc w:val="both"/>
        <w:rPr>
          <w:rFonts w:ascii="Arial" w:hAnsi="Arial" w:cs="Arial"/>
          <w:bCs/>
          <w:sz w:val="21"/>
          <w:szCs w:val="21"/>
          <w:u w:val="single"/>
          <w:lang w:val="en-GB"/>
        </w:rPr>
      </w:pPr>
      <w:r>
        <w:rPr>
          <w:rFonts w:ascii="Arial" w:hAnsi="Arial" w:cs="Arial"/>
          <w:b/>
          <w:bCs/>
          <w:sz w:val="21"/>
          <w:szCs w:val="21"/>
          <w:u w:val="single"/>
          <w:lang w:val="en-GB"/>
        </w:rPr>
        <w:t>The a</w:t>
      </w:r>
      <w:r w:rsidR="000D1ED3" w:rsidRPr="00BA3910">
        <w:rPr>
          <w:rFonts w:ascii="Arial" w:hAnsi="Arial" w:cs="Arial"/>
          <w:b/>
          <w:bCs/>
          <w:sz w:val="21"/>
          <w:szCs w:val="21"/>
          <w:u w:val="single"/>
          <w:lang w:val="en-GB"/>
        </w:rPr>
        <w:t xml:space="preserve">dded value of this study </w:t>
      </w:r>
    </w:p>
    <w:p w14:paraId="15E806F3" w14:textId="68D3AE1D" w:rsidR="00A82A28" w:rsidRPr="00BA3910" w:rsidRDefault="00A82A28" w:rsidP="00A82A28">
      <w:pPr>
        <w:shd w:val="clear" w:color="auto" w:fill="FFFFFF"/>
        <w:spacing w:line="360" w:lineRule="auto"/>
        <w:jc w:val="both"/>
        <w:rPr>
          <w:rFonts w:ascii="Arial" w:hAnsi="Arial" w:cs="Arial"/>
          <w:bCs/>
          <w:sz w:val="21"/>
          <w:szCs w:val="21"/>
          <w:lang w:val="en-GB"/>
        </w:rPr>
      </w:pPr>
      <w:r w:rsidRPr="00BA3910">
        <w:rPr>
          <w:rFonts w:ascii="Arial" w:hAnsi="Arial" w:cs="Arial"/>
          <w:bCs/>
          <w:sz w:val="21"/>
          <w:szCs w:val="21"/>
          <w:lang w:val="en-GB"/>
        </w:rPr>
        <w:t>A multicenter clinical trial involving 1089 HSCT patients across 25 Italian cent</w:t>
      </w:r>
      <w:r w:rsidR="004F6B1E">
        <w:rPr>
          <w:rFonts w:ascii="Arial" w:hAnsi="Arial" w:cs="Arial"/>
          <w:bCs/>
          <w:sz w:val="21"/>
          <w:szCs w:val="21"/>
          <w:lang w:val="en-GB"/>
        </w:rPr>
        <w:t>re</w:t>
      </w:r>
      <w:r w:rsidRPr="00BA3910">
        <w:rPr>
          <w:rFonts w:ascii="Arial" w:hAnsi="Arial" w:cs="Arial"/>
          <w:bCs/>
          <w:sz w:val="21"/>
          <w:szCs w:val="21"/>
          <w:lang w:val="en-GB"/>
        </w:rPr>
        <w:t xml:space="preserve">s was conducted. This study aimed to validate the potential of LSM in diagnosing </w:t>
      </w:r>
      <w:r w:rsidR="000D1ED3" w:rsidRPr="00BA3910">
        <w:rPr>
          <w:rFonts w:ascii="Arial" w:hAnsi="Arial" w:cs="Arial"/>
          <w:bCs/>
          <w:sz w:val="21"/>
          <w:szCs w:val="21"/>
          <w:lang w:val="en-GB"/>
        </w:rPr>
        <w:t>VOD/SOS</w:t>
      </w:r>
      <w:r w:rsidRPr="00BA3910">
        <w:rPr>
          <w:rFonts w:ascii="Arial" w:hAnsi="Arial" w:cs="Arial"/>
          <w:bCs/>
          <w:sz w:val="21"/>
          <w:szCs w:val="21"/>
          <w:lang w:val="en-GB"/>
        </w:rPr>
        <w:t xml:space="preserve"> by assessing clinical, laboratory, and imaging data from HSCT admission until post-treatment stages. LSM assessments, carried out at specific intervals, provided valuable insights into </w:t>
      </w:r>
      <w:r w:rsidR="000D1ED3" w:rsidRPr="00BA3910">
        <w:rPr>
          <w:rFonts w:ascii="Arial" w:hAnsi="Arial" w:cs="Arial"/>
          <w:bCs/>
          <w:sz w:val="21"/>
          <w:szCs w:val="21"/>
          <w:lang w:val="en-GB"/>
        </w:rPr>
        <w:t>VOD/SOS</w:t>
      </w:r>
      <w:r w:rsidRPr="00BA3910">
        <w:rPr>
          <w:rFonts w:ascii="Arial" w:hAnsi="Arial" w:cs="Arial"/>
          <w:bCs/>
          <w:sz w:val="21"/>
          <w:szCs w:val="21"/>
          <w:lang w:val="en-GB"/>
        </w:rPr>
        <w:t xml:space="preserve"> diagnosis and patient outcomes.</w:t>
      </w:r>
      <w:r w:rsidR="000D1ED3" w:rsidRPr="00BA3910">
        <w:rPr>
          <w:rFonts w:ascii="Arial" w:hAnsi="Arial" w:cs="Arial"/>
          <w:bCs/>
          <w:sz w:val="21"/>
          <w:szCs w:val="21"/>
          <w:lang w:val="en-GB"/>
        </w:rPr>
        <w:t xml:space="preserve"> </w:t>
      </w:r>
      <w:r w:rsidRPr="00BA3910">
        <w:rPr>
          <w:rFonts w:ascii="Arial" w:hAnsi="Arial" w:cs="Arial"/>
          <w:bCs/>
          <w:sz w:val="21"/>
          <w:szCs w:val="21"/>
          <w:lang w:val="en-GB"/>
        </w:rPr>
        <w:t>The results of the multicenter study highlighted the efficacy of</w:t>
      </w:r>
      <w:r w:rsidR="000D1ED3" w:rsidRPr="00BA3910">
        <w:rPr>
          <w:rFonts w:ascii="Arial" w:hAnsi="Arial" w:cs="Arial"/>
          <w:bCs/>
          <w:sz w:val="21"/>
          <w:szCs w:val="21"/>
          <w:lang w:val="en-GB"/>
        </w:rPr>
        <w:t xml:space="preserve"> a stepwise</w:t>
      </w:r>
      <w:r w:rsidRPr="00BA3910">
        <w:rPr>
          <w:rFonts w:ascii="Arial" w:hAnsi="Arial" w:cs="Arial"/>
          <w:bCs/>
          <w:sz w:val="21"/>
          <w:szCs w:val="21"/>
          <w:lang w:val="en-GB"/>
        </w:rPr>
        <w:t xml:space="preserve"> LSM</w:t>
      </w:r>
      <w:r w:rsidR="000D1ED3" w:rsidRPr="00BA3910">
        <w:rPr>
          <w:rFonts w:ascii="Arial" w:hAnsi="Arial" w:cs="Arial"/>
          <w:bCs/>
          <w:sz w:val="21"/>
          <w:szCs w:val="21"/>
          <w:lang w:val="en-GB"/>
        </w:rPr>
        <w:t>-based algorithm</w:t>
      </w:r>
      <w:r w:rsidRPr="00BA3910">
        <w:rPr>
          <w:rFonts w:ascii="Arial" w:hAnsi="Arial" w:cs="Arial"/>
          <w:bCs/>
          <w:sz w:val="21"/>
          <w:szCs w:val="21"/>
          <w:lang w:val="en-GB"/>
        </w:rPr>
        <w:t xml:space="preserve"> in diagnosing </w:t>
      </w:r>
      <w:r w:rsidR="000D1ED3" w:rsidRPr="00BA3910">
        <w:rPr>
          <w:rFonts w:ascii="Arial" w:hAnsi="Arial" w:cs="Arial"/>
          <w:bCs/>
          <w:sz w:val="21"/>
          <w:szCs w:val="21"/>
          <w:lang w:val="en-GB"/>
        </w:rPr>
        <w:t>VOD/SOS</w:t>
      </w:r>
      <w:r w:rsidRPr="00BA3910">
        <w:rPr>
          <w:rFonts w:ascii="Arial" w:hAnsi="Arial" w:cs="Arial"/>
          <w:bCs/>
          <w:sz w:val="21"/>
          <w:szCs w:val="21"/>
          <w:lang w:val="en-GB"/>
        </w:rPr>
        <w:t xml:space="preserve">. Significant increases in LSM values were observed in </w:t>
      </w:r>
      <w:r w:rsidR="000D1ED3" w:rsidRPr="00BA3910">
        <w:rPr>
          <w:rFonts w:ascii="Arial" w:hAnsi="Arial" w:cs="Arial"/>
          <w:bCs/>
          <w:sz w:val="21"/>
          <w:szCs w:val="21"/>
          <w:lang w:val="en-GB"/>
        </w:rPr>
        <w:t>VOD/SOS</w:t>
      </w:r>
      <w:r w:rsidRPr="00BA3910">
        <w:rPr>
          <w:rFonts w:ascii="Arial" w:hAnsi="Arial" w:cs="Arial"/>
          <w:bCs/>
          <w:sz w:val="21"/>
          <w:szCs w:val="21"/>
          <w:lang w:val="en-GB"/>
        </w:rPr>
        <w:t xml:space="preserve"> patients, with differences noted across severity grades and age groups. LSM demonstrated high positive and negative predictive values, effectively differentiating </w:t>
      </w:r>
      <w:r w:rsidR="000D1ED3" w:rsidRPr="00BA3910">
        <w:rPr>
          <w:rFonts w:ascii="Arial" w:hAnsi="Arial" w:cs="Arial"/>
          <w:bCs/>
          <w:sz w:val="21"/>
          <w:szCs w:val="21"/>
          <w:lang w:val="en-GB"/>
        </w:rPr>
        <w:t>VOD/SOS</w:t>
      </w:r>
      <w:r w:rsidRPr="00BA3910">
        <w:rPr>
          <w:rFonts w:ascii="Arial" w:hAnsi="Arial" w:cs="Arial"/>
          <w:bCs/>
          <w:sz w:val="21"/>
          <w:szCs w:val="21"/>
          <w:lang w:val="en-GB"/>
        </w:rPr>
        <w:t xml:space="preserve"> from other </w:t>
      </w:r>
      <w:r w:rsidR="000D1ED3" w:rsidRPr="00BA3910">
        <w:rPr>
          <w:rFonts w:ascii="Arial" w:hAnsi="Arial" w:cs="Arial"/>
          <w:bCs/>
          <w:sz w:val="21"/>
          <w:szCs w:val="21"/>
          <w:lang w:val="en-GB"/>
        </w:rPr>
        <w:t>liver-</w:t>
      </w:r>
      <w:r w:rsidRPr="00BA3910">
        <w:rPr>
          <w:rFonts w:ascii="Arial" w:hAnsi="Arial" w:cs="Arial"/>
          <w:bCs/>
          <w:sz w:val="21"/>
          <w:szCs w:val="21"/>
          <w:lang w:val="en-GB"/>
        </w:rPr>
        <w:t>HSCT complications. Furthermore, LSM served as a valuable predictive tool for assessing response to defibrotide treatment.</w:t>
      </w:r>
    </w:p>
    <w:p w14:paraId="2ECA5927" w14:textId="77777777" w:rsidR="000D1ED3" w:rsidRPr="00BA3910" w:rsidRDefault="000D1ED3" w:rsidP="00A82A28">
      <w:pPr>
        <w:shd w:val="clear" w:color="auto" w:fill="FFFFFF"/>
        <w:spacing w:line="360" w:lineRule="auto"/>
        <w:jc w:val="both"/>
        <w:rPr>
          <w:rFonts w:ascii="Arial" w:hAnsi="Arial" w:cs="Arial"/>
          <w:b/>
          <w:bCs/>
          <w:sz w:val="21"/>
          <w:szCs w:val="21"/>
          <w:u w:val="single"/>
          <w:lang w:val="en-GB"/>
        </w:rPr>
      </w:pPr>
    </w:p>
    <w:p w14:paraId="015F5B44" w14:textId="4DF44365" w:rsidR="00A82A28" w:rsidRPr="00BA3910" w:rsidRDefault="000D1ED3" w:rsidP="00A82A28">
      <w:pPr>
        <w:shd w:val="clear" w:color="auto" w:fill="FFFFFF"/>
        <w:spacing w:line="360" w:lineRule="auto"/>
        <w:jc w:val="both"/>
        <w:rPr>
          <w:rFonts w:ascii="Arial" w:hAnsi="Arial" w:cs="Arial"/>
          <w:b/>
          <w:bCs/>
          <w:sz w:val="21"/>
          <w:szCs w:val="21"/>
          <w:u w:val="single"/>
          <w:lang w:val="en-GB"/>
        </w:rPr>
      </w:pPr>
      <w:r w:rsidRPr="00BA3910">
        <w:rPr>
          <w:rFonts w:ascii="Arial" w:hAnsi="Arial" w:cs="Arial"/>
          <w:b/>
          <w:bCs/>
          <w:sz w:val="21"/>
          <w:szCs w:val="21"/>
          <w:u w:val="single"/>
          <w:lang w:val="en-GB"/>
        </w:rPr>
        <w:t xml:space="preserve">Implications of all the available evidence </w:t>
      </w:r>
    </w:p>
    <w:p w14:paraId="36E43F49" w14:textId="3D45FFB2" w:rsidR="00A82A28" w:rsidRPr="00BA3910" w:rsidRDefault="00A82A28" w:rsidP="00A82A28">
      <w:pPr>
        <w:shd w:val="clear" w:color="auto" w:fill="FFFFFF"/>
        <w:spacing w:line="360" w:lineRule="auto"/>
        <w:jc w:val="both"/>
        <w:rPr>
          <w:rFonts w:ascii="Arial" w:hAnsi="Arial" w:cs="Arial"/>
          <w:bCs/>
          <w:sz w:val="21"/>
          <w:szCs w:val="21"/>
          <w:lang w:val="en-GB"/>
        </w:rPr>
      </w:pPr>
      <w:r w:rsidRPr="00BA3910">
        <w:rPr>
          <w:rFonts w:ascii="Arial" w:hAnsi="Arial" w:cs="Arial"/>
          <w:bCs/>
          <w:sz w:val="21"/>
          <w:szCs w:val="21"/>
          <w:lang w:val="en-GB"/>
        </w:rPr>
        <w:t xml:space="preserve">The study findings underscore the importance of LSM as a reliable and user-friendly diagnostic tool for </w:t>
      </w:r>
      <w:r w:rsidR="000D1ED3" w:rsidRPr="00BA3910">
        <w:rPr>
          <w:rFonts w:ascii="Arial" w:hAnsi="Arial" w:cs="Arial"/>
          <w:bCs/>
          <w:sz w:val="21"/>
          <w:szCs w:val="21"/>
          <w:lang w:val="en-GB"/>
        </w:rPr>
        <w:t>VOD/SOS after HSCT</w:t>
      </w:r>
      <w:r w:rsidRPr="00BA3910">
        <w:rPr>
          <w:rFonts w:ascii="Arial" w:hAnsi="Arial" w:cs="Arial"/>
          <w:bCs/>
          <w:sz w:val="21"/>
          <w:szCs w:val="21"/>
          <w:lang w:val="en-GB"/>
        </w:rPr>
        <w:t>. The simplicity of applying LSM, particularly when overseen by skilled h</w:t>
      </w:r>
      <w:r w:rsidR="004F6B1E">
        <w:rPr>
          <w:rFonts w:ascii="Arial" w:hAnsi="Arial" w:cs="Arial"/>
          <w:bCs/>
          <w:sz w:val="21"/>
          <w:szCs w:val="21"/>
          <w:lang w:val="en-GB"/>
        </w:rPr>
        <w:t>a</w:t>
      </w:r>
      <w:r w:rsidRPr="00BA3910">
        <w:rPr>
          <w:rFonts w:ascii="Arial" w:hAnsi="Arial" w:cs="Arial"/>
          <w:bCs/>
          <w:sz w:val="21"/>
          <w:szCs w:val="21"/>
          <w:lang w:val="en-GB"/>
        </w:rPr>
        <w:t xml:space="preserve">ematologists within a multidisciplinary team, can streamline the </w:t>
      </w:r>
      <w:r w:rsidR="000D1ED3" w:rsidRPr="00BA3910">
        <w:rPr>
          <w:rFonts w:ascii="Arial" w:hAnsi="Arial" w:cs="Arial"/>
          <w:bCs/>
          <w:sz w:val="21"/>
          <w:szCs w:val="21"/>
          <w:lang w:val="en-GB"/>
        </w:rPr>
        <w:t>VOD/SOS</w:t>
      </w:r>
      <w:r w:rsidRPr="00BA3910">
        <w:rPr>
          <w:rFonts w:ascii="Arial" w:hAnsi="Arial" w:cs="Arial"/>
          <w:bCs/>
          <w:sz w:val="21"/>
          <w:szCs w:val="21"/>
          <w:lang w:val="en-GB"/>
        </w:rPr>
        <w:t xml:space="preserve"> diagnostic process. Furthermore, understanding the actual prevalence of </w:t>
      </w:r>
      <w:r w:rsidR="000D1ED3" w:rsidRPr="00BA3910">
        <w:rPr>
          <w:rFonts w:ascii="Arial" w:hAnsi="Arial" w:cs="Arial"/>
          <w:bCs/>
          <w:sz w:val="21"/>
          <w:szCs w:val="21"/>
          <w:lang w:val="en-GB"/>
        </w:rPr>
        <w:t>VOD/SOS</w:t>
      </w:r>
      <w:r w:rsidRPr="00BA3910">
        <w:rPr>
          <w:rFonts w:ascii="Arial" w:hAnsi="Arial" w:cs="Arial"/>
          <w:bCs/>
          <w:sz w:val="21"/>
          <w:szCs w:val="21"/>
          <w:lang w:val="en-GB"/>
        </w:rPr>
        <w:t xml:space="preserve"> and associated epidemiological factors can guide future research endeavo</w:t>
      </w:r>
      <w:r w:rsidR="004F6B1E">
        <w:rPr>
          <w:rFonts w:ascii="Arial" w:hAnsi="Arial" w:cs="Arial"/>
          <w:bCs/>
          <w:sz w:val="21"/>
          <w:szCs w:val="21"/>
          <w:lang w:val="en-GB"/>
        </w:rPr>
        <w:t>u</w:t>
      </w:r>
      <w:r w:rsidRPr="00BA3910">
        <w:rPr>
          <w:rFonts w:ascii="Arial" w:hAnsi="Arial" w:cs="Arial"/>
          <w:bCs/>
          <w:sz w:val="21"/>
          <w:szCs w:val="21"/>
          <w:lang w:val="en-GB"/>
        </w:rPr>
        <w:t xml:space="preserve">rs in refining diagnostic and therapeutic strategies. These efforts aim to reduce the substantial mortality risks linked to </w:t>
      </w:r>
      <w:r w:rsidR="000D1ED3" w:rsidRPr="00BA3910">
        <w:rPr>
          <w:rFonts w:ascii="Arial" w:hAnsi="Arial" w:cs="Arial"/>
          <w:bCs/>
          <w:sz w:val="21"/>
          <w:szCs w:val="21"/>
          <w:lang w:val="en-GB"/>
        </w:rPr>
        <w:t>VOD/SOS</w:t>
      </w:r>
      <w:r w:rsidRPr="00BA3910">
        <w:rPr>
          <w:rFonts w:ascii="Arial" w:hAnsi="Arial" w:cs="Arial"/>
          <w:bCs/>
          <w:sz w:val="21"/>
          <w:szCs w:val="21"/>
          <w:lang w:val="en-GB"/>
        </w:rPr>
        <w:t xml:space="preserve">, contributing to improved patient outcomes in the HSCT setting.  </w:t>
      </w:r>
    </w:p>
    <w:p w14:paraId="4D6CA97F" w14:textId="77777777" w:rsidR="00A82A28" w:rsidRPr="00BA3910" w:rsidRDefault="00A82A28" w:rsidP="00281951">
      <w:pPr>
        <w:shd w:val="clear" w:color="auto" w:fill="FFFFFF"/>
        <w:spacing w:line="360" w:lineRule="auto"/>
        <w:jc w:val="both"/>
        <w:rPr>
          <w:rFonts w:ascii="Arial" w:hAnsi="Arial" w:cs="Arial"/>
          <w:bCs/>
          <w:sz w:val="20"/>
          <w:szCs w:val="20"/>
          <w:lang w:val="en-GB"/>
        </w:rPr>
      </w:pPr>
    </w:p>
    <w:p w14:paraId="53358D3D" w14:textId="77777777" w:rsidR="000D1ED3" w:rsidRPr="00BA3910" w:rsidRDefault="000D1ED3" w:rsidP="00281951">
      <w:pPr>
        <w:shd w:val="clear" w:color="auto" w:fill="FFFFFF"/>
        <w:spacing w:line="360" w:lineRule="auto"/>
        <w:jc w:val="both"/>
        <w:rPr>
          <w:rFonts w:ascii="Arial" w:hAnsi="Arial" w:cs="Arial"/>
          <w:bCs/>
          <w:sz w:val="20"/>
          <w:szCs w:val="20"/>
          <w:lang w:val="en-GB"/>
        </w:rPr>
      </w:pPr>
    </w:p>
    <w:p w14:paraId="47FF5FDE" w14:textId="77777777" w:rsidR="000D1ED3" w:rsidRPr="00BA3910" w:rsidRDefault="000D1ED3" w:rsidP="00281951">
      <w:pPr>
        <w:shd w:val="clear" w:color="auto" w:fill="FFFFFF"/>
        <w:spacing w:line="360" w:lineRule="auto"/>
        <w:jc w:val="both"/>
        <w:rPr>
          <w:rFonts w:ascii="Arial" w:hAnsi="Arial" w:cs="Arial"/>
          <w:bCs/>
          <w:sz w:val="20"/>
          <w:szCs w:val="20"/>
          <w:lang w:val="en-GB"/>
        </w:rPr>
      </w:pPr>
    </w:p>
    <w:p w14:paraId="470152AD" w14:textId="77777777" w:rsidR="000D1ED3" w:rsidRPr="00BA3910" w:rsidRDefault="000D1ED3" w:rsidP="00281951">
      <w:pPr>
        <w:shd w:val="clear" w:color="auto" w:fill="FFFFFF"/>
        <w:spacing w:line="360" w:lineRule="auto"/>
        <w:jc w:val="both"/>
        <w:rPr>
          <w:rFonts w:ascii="Arial" w:hAnsi="Arial" w:cs="Arial"/>
          <w:bCs/>
          <w:sz w:val="20"/>
          <w:szCs w:val="20"/>
          <w:lang w:val="en-GB"/>
        </w:rPr>
      </w:pPr>
    </w:p>
    <w:p w14:paraId="7351D5E2" w14:textId="77777777" w:rsidR="00A82A28" w:rsidRPr="00BA3910" w:rsidRDefault="00A82A28" w:rsidP="00281951">
      <w:pPr>
        <w:shd w:val="clear" w:color="auto" w:fill="FFFFFF"/>
        <w:spacing w:line="360" w:lineRule="auto"/>
        <w:jc w:val="both"/>
        <w:rPr>
          <w:rFonts w:ascii="Arial" w:hAnsi="Arial" w:cs="Arial"/>
          <w:bCs/>
          <w:sz w:val="20"/>
          <w:szCs w:val="20"/>
          <w:lang w:val="en-GB"/>
        </w:rPr>
      </w:pPr>
    </w:p>
    <w:p w14:paraId="75B615D6" w14:textId="77777777" w:rsidR="000D1ED3" w:rsidRDefault="000D1ED3" w:rsidP="00281951">
      <w:pPr>
        <w:shd w:val="clear" w:color="auto" w:fill="FFFFFF"/>
        <w:spacing w:line="360" w:lineRule="auto"/>
        <w:jc w:val="both"/>
        <w:rPr>
          <w:rFonts w:ascii="Arial" w:hAnsi="Arial" w:cs="Arial"/>
          <w:bCs/>
          <w:sz w:val="20"/>
          <w:szCs w:val="20"/>
          <w:lang w:val="en-GB"/>
        </w:rPr>
      </w:pPr>
    </w:p>
    <w:p w14:paraId="3910E766" w14:textId="77777777" w:rsidR="00C70BA8" w:rsidRDefault="00C70BA8" w:rsidP="00281951">
      <w:pPr>
        <w:shd w:val="clear" w:color="auto" w:fill="FFFFFF"/>
        <w:spacing w:line="360" w:lineRule="auto"/>
        <w:jc w:val="both"/>
        <w:rPr>
          <w:rFonts w:ascii="Arial" w:hAnsi="Arial" w:cs="Arial"/>
          <w:bCs/>
          <w:sz w:val="20"/>
          <w:szCs w:val="20"/>
          <w:lang w:val="en-GB"/>
        </w:rPr>
      </w:pPr>
    </w:p>
    <w:p w14:paraId="00AC0BE3" w14:textId="77777777" w:rsidR="001916DF" w:rsidRDefault="001916DF" w:rsidP="00281951">
      <w:pPr>
        <w:shd w:val="clear" w:color="auto" w:fill="FFFFFF"/>
        <w:spacing w:line="360" w:lineRule="auto"/>
        <w:jc w:val="both"/>
        <w:rPr>
          <w:rFonts w:ascii="Arial" w:hAnsi="Arial" w:cs="Arial"/>
          <w:bCs/>
          <w:sz w:val="20"/>
          <w:szCs w:val="20"/>
          <w:lang w:val="en-GB"/>
        </w:rPr>
      </w:pPr>
    </w:p>
    <w:p w14:paraId="2CF1116C" w14:textId="77777777" w:rsidR="001916DF" w:rsidRDefault="001916DF" w:rsidP="00281951">
      <w:pPr>
        <w:shd w:val="clear" w:color="auto" w:fill="FFFFFF"/>
        <w:spacing w:line="360" w:lineRule="auto"/>
        <w:jc w:val="both"/>
        <w:rPr>
          <w:rFonts w:ascii="Arial" w:hAnsi="Arial" w:cs="Arial"/>
          <w:bCs/>
          <w:sz w:val="20"/>
          <w:szCs w:val="20"/>
          <w:lang w:val="en-GB"/>
        </w:rPr>
      </w:pPr>
    </w:p>
    <w:p w14:paraId="311F3E1E" w14:textId="77777777" w:rsidR="001916DF" w:rsidRDefault="001916DF" w:rsidP="00281951">
      <w:pPr>
        <w:shd w:val="clear" w:color="auto" w:fill="FFFFFF"/>
        <w:spacing w:line="360" w:lineRule="auto"/>
        <w:jc w:val="both"/>
        <w:rPr>
          <w:rFonts w:ascii="Arial" w:hAnsi="Arial" w:cs="Arial"/>
          <w:bCs/>
          <w:sz w:val="20"/>
          <w:szCs w:val="20"/>
          <w:lang w:val="en-GB"/>
        </w:rPr>
      </w:pPr>
    </w:p>
    <w:p w14:paraId="44F5E856" w14:textId="77777777" w:rsidR="00C70BA8" w:rsidRPr="00BA3910" w:rsidRDefault="00C70BA8" w:rsidP="00281951">
      <w:pPr>
        <w:shd w:val="clear" w:color="auto" w:fill="FFFFFF"/>
        <w:spacing w:line="360" w:lineRule="auto"/>
        <w:jc w:val="both"/>
        <w:rPr>
          <w:rFonts w:ascii="Arial" w:hAnsi="Arial" w:cs="Arial"/>
          <w:bCs/>
          <w:sz w:val="20"/>
          <w:szCs w:val="20"/>
          <w:lang w:val="en-GB"/>
        </w:rPr>
      </w:pPr>
    </w:p>
    <w:p w14:paraId="6C5886C6" w14:textId="77777777" w:rsidR="00A82A28" w:rsidRPr="00BA3910" w:rsidRDefault="00A82A28" w:rsidP="00281951">
      <w:pPr>
        <w:spacing w:line="360" w:lineRule="auto"/>
        <w:jc w:val="both"/>
        <w:rPr>
          <w:rFonts w:ascii="Arial" w:hAnsi="Arial" w:cs="Arial"/>
          <w:b/>
          <w:bCs/>
          <w:sz w:val="18"/>
          <w:szCs w:val="18"/>
          <w:lang w:val="en-GB"/>
        </w:rPr>
      </w:pPr>
    </w:p>
    <w:p w14:paraId="317C14E1" w14:textId="6713595F" w:rsidR="005B5EEC" w:rsidRPr="006D49B0" w:rsidRDefault="005B5EEC" w:rsidP="003139FB">
      <w:pPr>
        <w:spacing w:line="360" w:lineRule="auto"/>
        <w:jc w:val="both"/>
        <w:rPr>
          <w:rFonts w:ascii="Arial" w:hAnsi="Arial" w:cs="Arial"/>
          <w:sz w:val="22"/>
          <w:szCs w:val="22"/>
          <w:lang w:val="en-GB"/>
        </w:rPr>
      </w:pPr>
      <w:r w:rsidRPr="006D49B0">
        <w:rPr>
          <w:rFonts w:ascii="Arial" w:hAnsi="Arial" w:cs="Arial"/>
          <w:b/>
          <w:bCs/>
          <w:sz w:val="21"/>
          <w:szCs w:val="21"/>
          <w:lang w:val="en-GB"/>
        </w:rPr>
        <w:t>ABSTRACT</w:t>
      </w:r>
      <w:r w:rsidR="006E3005" w:rsidRPr="006D49B0">
        <w:rPr>
          <w:rFonts w:ascii="Arial" w:hAnsi="Arial" w:cs="Arial"/>
          <w:b/>
          <w:bCs/>
          <w:sz w:val="21"/>
          <w:szCs w:val="21"/>
          <w:lang w:val="en-GB"/>
        </w:rPr>
        <w:t xml:space="preserve"> </w:t>
      </w:r>
      <w:r w:rsidR="006E3005" w:rsidRPr="006D49B0">
        <w:rPr>
          <w:rFonts w:ascii="Arial" w:hAnsi="Arial" w:cs="Arial"/>
          <w:b/>
          <w:bCs/>
          <w:sz w:val="21"/>
          <w:szCs w:val="21"/>
          <w:highlight w:val="magenta"/>
          <w:lang w:val="en-GB"/>
        </w:rPr>
        <w:t>(max 300 words)</w:t>
      </w:r>
    </w:p>
    <w:p w14:paraId="0039CFBD" w14:textId="77777777" w:rsidR="00371C3E" w:rsidRPr="006D49B0" w:rsidRDefault="00371C3E" w:rsidP="003139FB">
      <w:pPr>
        <w:spacing w:line="360" w:lineRule="auto"/>
        <w:jc w:val="both"/>
        <w:rPr>
          <w:rFonts w:ascii="Arial" w:hAnsi="Arial" w:cs="Arial"/>
          <w:b/>
          <w:bCs/>
          <w:sz w:val="21"/>
          <w:szCs w:val="21"/>
          <w:lang w:val="en-GB"/>
        </w:rPr>
      </w:pPr>
      <w:r w:rsidRPr="006D49B0">
        <w:rPr>
          <w:rFonts w:ascii="Arial" w:hAnsi="Arial" w:cs="Arial"/>
          <w:b/>
          <w:bCs/>
          <w:sz w:val="21"/>
          <w:szCs w:val="21"/>
          <w:lang w:val="en-GB"/>
        </w:rPr>
        <w:t xml:space="preserve">Background: </w:t>
      </w:r>
    </w:p>
    <w:p w14:paraId="43AEBC0A" w14:textId="11C95534" w:rsidR="007F4D27" w:rsidRPr="006D49B0" w:rsidRDefault="007F4D27" w:rsidP="003139FB">
      <w:pPr>
        <w:spacing w:line="360" w:lineRule="auto"/>
        <w:jc w:val="both"/>
        <w:rPr>
          <w:rFonts w:ascii="Arial" w:hAnsi="Arial" w:cs="Arial"/>
          <w:sz w:val="21"/>
          <w:szCs w:val="21"/>
          <w:lang w:val="en-GB"/>
        </w:rPr>
      </w:pPr>
      <w:r w:rsidRPr="006D49B0">
        <w:rPr>
          <w:rFonts w:ascii="Arial" w:hAnsi="Arial" w:cs="Arial"/>
          <w:sz w:val="21"/>
          <w:szCs w:val="21"/>
          <w:lang w:val="en-GB"/>
        </w:rPr>
        <w:t xml:space="preserve">The diagnosis of Veno-occlusive disease/sinusoidal obstruction syndrome (VOD/SOS), a serious complication post-HSCT, relies primarily on clinical criteria. However, our aim was to assess the diagnostic potential of liver stiffness measurement (LSM) as a non-invasive tool for early and accurate diagnosis, </w:t>
      </w:r>
      <w:r w:rsidR="004F6B1E">
        <w:rPr>
          <w:rFonts w:ascii="Arial" w:hAnsi="Arial" w:cs="Arial"/>
          <w:sz w:val="21"/>
          <w:szCs w:val="21"/>
          <w:lang w:val="en-GB"/>
        </w:rPr>
        <w:t xml:space="preserve">which is </w:t>
      </w:r>
      <w:r w:rsidRPr="006D49B0">
        <w:rPr>
          <w:rFonts w:ascii="Arial" w:hAnsi="Arial" w:cs="Arial"/>
          <w:sz w:val="21"/>
          <w:szCs w:val="21"/>
          <w:lang w:val="en-GB"/>
        </w:rPr>
        <w:t xml:space="preserve">crucial for improving patient outcomes.  </w:t>
      </w:r>
    </w:p>
    <w:p w14:paraId="59E33E9B" w14:textId="0385EBAB" w:rsidR="00371C3E" w:rsidRPr="006D49B0" w:rsidRDefault="00371C3E" w:rsidP="003139FB">
      <w:pPr>
        <w:spacing w:line="360" w:lineRule="auto"/>
        <w:jc w:val="both"/>
        <w:rPr>
          <w:rFonts w:ascii="Arial" w:hAnsi="Arial" w:cs="Arial"/>
          <w:b/>
          <w:bCs/>
          <w:sz w:val="21"/>
          <w:szCs w:val="21"/>
          <w:lang w:val="en-GB"/>
        </w:rPr>
      </w:pPr>
      <w:r w:rsidRPr="006D49B0">
        <w:rPr>
          <w:rFonts w:ascii="Arial" w:hAnsi="Arial" w:cs="Arial"/>
          <w:b/>
          <w:bCs/>
          <w:sz w:val="21"/>
          <w:szCs w:val="21"/>
          <w:lang w:val="en-GB"/>
        </w:rPr>
        <w:t xml:space="preserve">Methods: </w:t>
      </w:r>
    </w:p>
    <w:p w14:paraId="50DC1924" w14:textId="1BBF46FE" w:rsidR="000A0F96" w:rsidRPr="006D49B0" w:rsidRDefault="000A0F96" w:rsidP="000A0F96">
      <w:pPr>
        <w:spacing w:line="360" w:lineRule="auto"/>
        <w:jc w:val="both"/>
        <w:rPr>
          <w:rFonts w:ascii="Arial" w:hAnsi="Arial" w:cs="Arial"/>
          <w:sz w:val="21"/>
          <w:szCs w:val="21"/>
          <w:lang w:val="en-GB"/>
        </w:rPr>
      </w:pPr>
      <w:r w:rsidRPr="006D49B0">
        <w:rPr>
          <w:rFonts w:ascii="Arial" w:hAnsi="Arial" w:cs="Arial"/>
          <w:sz w:val="21"/>
          <w:szCs w:val="21"/>
          <w:lang w:val="en-GB"/>
        </w:rPr>
        <w:t>In Italy, a multicenter clinical trial was executed from April 2018 to December 2021, with 1089 screened patients across 25 centres. The diagnosis of VOD/SOS adhered to clinical guidelines, and patients underwent a thorough evaluation, including clinical, laboratory, and imaging assessments until VOD/SOS diagnosis or up to +100-days-post-HSCT. LSM measurements, recorded by kPa and/or m/sec, were taken pre-HSCT and on specific days post-transplant (ClinicalTrials.gov-number-NCT03426358).</w:t>
      </w:r>
    </w:p>
    <w:p w14:paraId="6E2080E9" w14:textId="77777777" w:rsidR="00371C3E" w:rsidRPr="006D49B0" w:rsidRDefault="005B5EEC" w:rsidP="003139FB">
      <w:pPr>
        <w:spacing w:line="360" w:lineRule="auto"/>
        <w:jc w:val="both"/>
        <w:rPr>
          <w:rFonts w:ascii="Arial" w:hAnsi="Arial" w:cs="Arial"/>
          <w:b/>
          <w:bCs/>
          <w:sz w:val="21"/>
          <w:szCs w:val="21"/>
          <w:lang w:val="en-GB"/>
        </w:rPr>
      </w:pPr>
      <w:r w:rsidRPr="006D49B0">
        <w:rPr>
          <w:rFonts w:ascii="Arial" w:hAnsi="Arial" w:cs="Arial"/>
          <w:b/>
          <w:bCs/>
          <w:sz w:val="21"/>
          <w:szCs w:val="21"/>
          <w:lang w:val="en-GB"/>
        </w:rPr>
        <w:t>Findings</w:t>
      </w:r>
      <w:r w:rsidR="00371C3E" w:rsidRPr="006D49B0">
        <w:rPr>
          <w:rFonts w:ascii="Arial" w:hAnsi="Arial" w:cs="Arial"/>
          <w:b/>
          <w:bCs/>
          <w:sz w:val="21"/>
          <w:szCs w:val="21"/>
          <w:lang w:val="en-GB"/>
        </w:rPr>
        <w:t xml:space="preserve">: </w:t>
      </w:r>
    </w:p>
    <w:p w14:paraId="04A4DF2E" w14:textId="7DFB90A8" w:rsidR="007F4D27" w:rsidRPr="006D49B0" w:rsidRDefault="007F4D27" w:rsidP="00815E36">
      <w:pPr>
        <w:spacing w:line="360" w:lineRule="auto"/>
        <w:jc w:val="both"/>
        <w:rPr>
          <w:rFonts w:ascii="Arial" w:hAnsi="Arial" w:cs="Arial"/>
          <w:sz w:val="21"/>
          <w:szCs w:val="21"/>
          <w:lang w:val="en-GB"/>
        </w:rPr>
      </w:pPr>
      <w:r w:rsidRPr="006D49B0">
        <w:rPr>
          <w:rFonts w:ascii="Arial" w:hAnsi="Arial" w:cs="Arial"/>
          <w:sz w:val="21"/>
          <w:szCs w:val="21"/>
          <w:lang w:val="en-GB"/>
        </w:rPr>
        <w:t xml:space="preserve">774 adults and 167 children were enrolled in the study. The </w:t>
      </w:r>
      <w:r w:rsidR="006D49B0" w:rsidRPr="006D49B0">
        <w:rPr>
          <w:rFonts w:ascii="Arial" w:hAnsi="Arial" w:cs="Arial"/>
          <w:sz w:val="21"/>
          <w:szCs w:val="21"/>
          <w:lang w:val="en-GB"/>
        </w:rPr>
        <w:t>+</w:t>
      </w:r>
      <w:r w:rsidRPr="006D49B0">
        <w:rPr>
          <w:rFonts w:ascii="Arial" w:hAnsi="Arial" w:cs="Arial"/>
          <w:sz w:val="21"/>
          <w:szCs w:val="21"/>
          <w:lang w:val="en-GB"/>
        </w:rPr>
        <w:t>100-day</w:t>
      </w:r>
      <w:r w:rsidR="00F8078D">
        <w:rPr>
          <w:rFonts w:ascii="Arial" w:hAnsi="Arial" w:cs="Arial"/>
          <w:sz w:val="21"/>
          <w:szCs w:val="21"/>
          <w:lang w:val="en-GB"/>
        </w:rPr>
        <w:t xml:space="preserve"> </w:t>
      </w:r>
      <w:r w:rsidRPr="006D49B0">
        <w:rPr>
          <w:rFonts w:ascii="Arial" w:hAnsi="Arial" w:cs="Arial"/>
          <w:sz w:val="21"/>
          <w:szCs w:val="21"/>
          <w:lang w:val="en-GB"/>
        </w:rPr>
        <w:t xml:space="preserve"> incidence of VOD/SOS was 5.53%, with significantly different rates between adults (3.62%) and children (14.37%). The 100-day</w:t>
      </w:r>
      <w:r w:rsidR="00F8078D">
        <w:rPr>
          <w:rFonts w:ascii="Arial" w:hAnsi="Arial" w:cs="Arial"/>
          <w:sz w:val="21"/>
          <w:szCs w:val="21"/>
          <w:lang w:val="en-GB"/>
        </w:rPr>
        <w:t xml:space="preserve"> and one-year</w:t>
      </w:r>
      <w:r w:rsidRPr="006D49B0">
        <w:rPr>
          <w:rFonts w:ascii="Arial" w:hAnsi="Arial" w:cs="Arial"/>
          <w:sz w:val="21"/>
          <w:szCs w:val="21"/>
          <w:lang w:val="en-GB"/>
        </w:rPr>
        <w:t xml:space="preserve"> overall survival rate</w:t>
      </w:r>
      <w:r w:rsidR="004F6B1E">
        <w:rPr>
          <w:rFonts w:ascii="Arial" w:hAnsi="Arial" w:cs="Arial"/>
          <w:sz w:val="21"/>
          <w:szCs w:val="21"/>
          <w:lang w:val="en-GB"/>
        </w:rPr>
        <w:t>s</w:t>
      </w:r>
      <w:r w:rsidRPr="006D49B0">
        <w:rPr>
          <w:rFonts w:ascii="Arial" w:hAnsi="Arial" w:cs="Arial"/>
          <w:sz w:val="21"/>
          <w:szCs w:val="21"/>
          <w:lang w:val="en-GB"/>
        </w:rPr>
        <w:t xml:space="preserve"> </w:t>
      </w:r>
      <w:r w:rsidR="00F8078D" w:rsidRPr="006D49B0">
        <w:rPr>
          <w:rFonts w:ascii="Arial" w:hAnsi="Arial" w:cs="Arial"/>
          <w:sz w:val="21"/>
          <w:szCs w:val="21"/>
          <w:lang w:val="en-GB"/>
        </w:rPr>
        <w:t>w</w:t>
      </w:r>
      <w:r w:rsidR="00F8078D">
        <w:rPr>
          <w:rFonts w:ascii="Arial" w:hAnsi="Arial" w:cs="Arial"/>
          <w:sz w:val="21"/>
          <w:szCs w:val="21"/>
          <w:lang w:val="en-GB"/>
        </w:rPr>
        <w:t xml:space="preserve">ere </w:t>
      </w:r>
      <w:r w:rsidRPr="006D49B0">
        <w:rPr>
          <w:rFonts w:ascii="Arial" w:hAnsi="Arial" w:cs="Arial"/>
          <w:sz w:val="21"/>
          <w:szCs w:val="21"/>
          <w:lang w:val="en-GB"/>
        </w:rPr>
        <w:t>89.5%</w:t>
      </w:r>
      <w:r w:rsidR="00F8078D">
        <w:rPr>
          <w:rFonts w:ascii="Arial" w:hAnsi="Arial" w:cs="Arial"/>
          <w:sz w:val="21"/>
          <w:szCs w:val="21"/>
          <w:lang w:val="en-GB"/>
        </w:rPr>
        <w:t xml:space="preserve"> and </w:t>
      </w:r>
      <w:r w:rsidR="005A711B">
        <w:rPr>
          <w:rFonts w:ascii="Arial" w:hAnsi="Arial" w:cs="Arial"/>
          <w:sz w:val="21"/>
          <w:szCs w:val="21"/>
          <w:lang w:val="en-GB"/>
        </w:rPr>
        <w:t xml:space="preserve">79%, </w:t>
      </w:r>
      <w:r w:rsidR="00F8078D">
        <w:rPr>
          <w:rFonts w:ascii="Arial" w:hAnsi="Arial" w:cs="Arial"/>
          <w:sz w:val="21"/>
          <w:szCs w:val="21"/>
          <w:lang w:val="en-GB"/>
        </w:rPr>
        <w:t>respectively,</w:t>
      </w:r>
      <w:r w:rsidRPr="006D49B0">
        <w:rPr>
          <w:rFonts w:ascii="Arial" w:hAnsi="Arial" w:cs="Arial"/>
          <w:sz w:val="21"/>
          <w:szCs w:val="21"/>
          <w:lang w:val="en-GB"/>
        </w:rPr>
        <w:t xml:space="preserve"> varying significantly </w:t>
      </w:r>
      <w:r w:rsidR="00F8078D">
        <w:rPr>
          <w:rFonts w:ascii="Arial" w:hAnsi="Arial" w:cs="Arial"/>
          <w:sz w:val="21"/>
          <w:szCs w:val="21"/>
          <w:lang w:val="en-GB"/>
        </w:rPr>
        <w:t>according to</w:t>
      </w:r>
      <w:r w:rsidRPr="006D49B0">
        <w:rPr>
          <w:rFonts w:ascii="Arial" w:hAnsi="Arial" w:cs="Arial"/>
          <w:sz w:val="21"/>
          <w:szCs w:val="21"/>
          <w:lang w:val="en-GB"/>
        </w:rPr>
        <w:t xml:space="preserve"> VOD/SOS </w:t>
      </w:r>
      <w:r w:rsidR="00F8078D">
        <w:rPr>
          <w:rFonts w:ascii="Arial" w:hAnsi="Arial" w:cs="Arial"/>
          <w:sz w:val="21"/>
          <w:szCs w:val="21"/>
          <w:lang w:val="en-GB"/>
        </w:rPr>
        <w:t>occurrence</w:t>
      </w:r>
      <w:r w:rsidR="00F8078D" w:rsidRPr="006D49B0">
        <w:rPr>
          <w:rFonts w:ascii="Arial" w:hAnsi="Arial" w:cs="Arial"/>
          <w:sz w:val="21"/>
          <w:szCs w:val="21"/>
          <w:lang w:val="en-GB"/>
        </w:rPr>
        <w:t xml:space="preserve"> </w:t>
      </w:r>
      <w:r w:rsidRPr="006D49B0">
        <w:rPr>
          <w:rFonts w:ascii="Arial" w:hAnsi="Arial" w:cs="Arial"/>
          <w:sz w:val="21"/>
          <w:szCs w:val="21"/>
          <w:lang w:val="en-GB"/>
        </w:rPr>
        <w:t xml:space="preserve">and severity. LSM analysis showed significant differences in </w:t>
      </w:r>
      <w:r w:rsidR="00843FE6">
        <w:rPr>
          <w:rFonts w:ascii="Arial" w:hAnsi="Arial" w:cs="Arial"/>
          <w:sz w:val="21"/>
          <w:szCs w:val="21"/>
          <w:lang w:val="en-GB"/>
        </w:rPr>
        <w:t xml:space="preserve">all time points after HSCT </w:t>
      </w:r>
      <w:r w:rsidR="004F6B1E">
        <w:rPr>
          <w:rFonts w:ascii="Arial" w:hAnsi="Arial" w:cs="Arial"/>
          <w:sz w:val="21"/>
          <w:szCs w:val="21"/>
          <w:lang w:val="en-GB"/>
        </w:rPr>
        <w:t>between patients developing VOD and those who did</w:t>
      </w:r>
      <w:r w:rsidR="00843FE6">
        <w:rPr>
          <w:rFonts w:ascii="Arial" w:hAnsi="Arial" w:cs="Arial"/>
          <w:sz w:val="21"/>
          <w:szCs w:val="21"/>
          <w:lang w:val="en-GB"/>
        </w:rPr>
        <w:t xml:space="preserve"> not. The increase </w:t>
      </w:r>
      <w:r w:rsidR="004F6B1E">
        <w:rPr>
          <w:rFonts w:ascii="Arial" w:hAnsi="Arial" w:cs="Arial"/>
          <w:sz w:val="21"/>
          <w:szCs w:val="21"/>
          <w:lang w:val="en-GB"/>
        </w:rPr>
        <w:t>in</w:t>
      </w:r>
      <w:r w:rsidR="00843FE6">
        <w:rPr>
          <w:rFonts w:ascii="Arial" w:hAnsi="Arial" w:cs="Arial"/>
          <w:sz w:val="21"/>
          <w:szCs w:val="21"/>
          <w:lang w:val="en-GB"/>
        </w:rPr>
        <w:t xml:space="preserve"> LS was proportional to the disease severity as well.</w:t>
      </w:r>
      <w:r w:rsidRPr="006D49B0">
        <w:rPr>
          <w:rFonts w:ascii="Arial" w:hAnsi="Arial" w:cs="Arial"/>
          <w:sz w:val="21"/>
          <w:szCs w:val="21"/>
          <w:lang w:val="en-GB"/>
        </w:rPr>
        <w:t xml:space="preserve"> </w:t>
      </w:r>
      <w:r w:rsidR="00843FE6">
        <w:rPr>
          <w:rFonts w:ascii="Arial" w:hAnsi="Arial" w:cs="Arial"/>
          <w:sz w:val="21"/>
          <w:szCs w:val="21"/>
          <w:lang w:val="en-GB"/>
        </w:rPr>
        <w:t>Then, a</w:t>
      </w:r>
      <w:r w:rsidR="00843FE6" w:rsidRPr="006D49B0">
        <w:rPr>
          <w:rFonts w:ascii="Arial" w:hAnsi="Arial" w:cs="Arial"/>
          <w:sz w:val="21"/>
          <w:szCs w:val="21"/>
          <w:lang w:val="en-GB"/>
        </w:rPr>
        <w:t xml:space="preserve"> </w:t>
      </w:r>
      <w:r w:rsidRPr="006D49B0">
        <w:rPr>
          <w:rFonts w:ascii="Arial" w:hAnsi="Arial" w:cs="Arial"/>
          <w:sz w:val="21"/>
          <w:szCs w:val="21"/>
          <w:lang w:val="en-GB"/>
        </w:rPr>
        <w:t>VOD/SOS diagnosis algorithm was proposed to achieve ≥95% sensibility and specificity, incorporating a 6 kPa rule-out cut-off and a 25 kPa rule-in cut-off, utili</w:t>
      </w:r>
      <w:r w:rsidR="004F6B1E">
        <w:rPr>
          <w:rFonts w:ascii="Arial" w:hAnsi="Arial" w:cs="Arial"/>
          <w:sz w:val="21"/>
          <w:szCs w:val="21"/>
          <w:lang w:val="en-GB"/>
        </w:rPr>
        <w:t>s</w:t>
      </w:r>
      <w:r w:rsidRPr="006D49B0">
        <w:rPr>
          <w:rFonts w:ascii="Arial" w:hAnsi="Arial" w:cs="Arial"/>
          <w:sz w:val="21"/>
          <w:szCs w:val="21"/>
          <w:lang w:val="en-GB"/>
        </w:rPr>
        <w:t>ing the "three-time pre-HSCT r</w:t>
      </w:r>
      <w:r w:rsidR="00605850">
        <w:rPr>
          <w:rFonts w:ascii="Arial" w:hAnsi="Arial" w:cs="Arial"/>
          <w:sz w:val="21"/>
          <w:szCs w:val="21"/>
          <w:lang w:val="en-GB"/>
        </w:rPr>
        <w:t>u</w:t>
      </w:r>
      <w:r w:rsidRPr="006D49B0">
        <w:rPr>
          <w:rFonts w:ascii="Arial" w:hAnsi="Arial" w:cs="Arial"/>
          <w:sz w:val="21"/>
          <w:szCs w:val="21"/>
          <w:lang w:val="en-GB"/>
        </w:rPr>
        <w:t xml:space="preserve">le" method for enhanced accuracy. Furthermore, VOD/SOS’survivors exhibited a reduction in LSM over time, while non-survivors did not, and fully recovered patients had notably lower LSM values </w:t>
      </w:r>
      <w:r w:rsidR="004F6B1E">
        <w:rPr>
          <w:rFonts w:ascii="Arial" w:hAnsi="Arial" w:cs="Arial"/>
          <w:sz w:val="21"/>
          <w:szCs w:val="21"/>
          <w:lang w:val="en-GB"/>
        </w:rPr>
        <w:t>than</w:t>
      </w:r>
      <w:r w:rsidRPr="006D49B0">
        <w:rPr>
          <w:rFonts w:ascii="Arial" w:hAnsi="Arial" w:cs="Arial"/>
          <w:sz w:val="21"/>
          <w:szCs w:val="21"/>
          <w:lang w:val="en-GB"/>
        </w:rPr>
        <w:t xml:space="preserve"> non-improvers. Noteworthy differences were also noted in LSM levels between VOD/SOS and other liver-related complications within </w:t>
      </w:r>
      <w:r w:rsidR="004F6B1E">
        <w:rPr>
          <w:rFonts w:ascii="Arial" w:hAnsi="Arial" w:cs="Arial"/>
          <w:sz w:val="21"/>
          <w:szCs w:val="21"/>
          <w:lang w:val="en-GB"/>
        </w:rPr>
        <w:t>+</w:t>
      </w:r>
      <w:r w:rsidR="00843FE6">
        <w:rPr>
          <w:rFonts w:ascii="Arial" w:hAnsi="Arial" w:cs="Arial"/>
          <w:sz w:val="21"/>
          <w:szCs w:val="21"/>
          <w:lang w:val="en-GB"/>
        </w:rPr>
        <w:t>100 day</w:t>
      </w:r>
      <w:r w:rsidR="004F6B1E">
        <w:rPr>
          <w:rFonts w:ascii="Arial" w:hAnsi="Arial" w:cs="Arial"/>
          <w:sz w:val="21"/>
          <w:szCs w:val="21"/>
          <w:lang w:val="en-GB"/>
        </w:rPr>
        <w:t>s</w:t>
      </w:r>
      <w:r w:rsidR="00843FE6">
        <w:rPr>
          <w:rFonts w:ascii="Arial" w:hAnsi="Arial" w:cs="Arial"/>
          <w:sz w:val="21"/>
          <w:szCs w:val="21"/>
          <w:lang w:val="en-GB"/>
        </w:rPr>
        <w:t xml:space="preserve"> after HSCT</w:t>
      </w:r>
      <w:r w:rsidR="004F6B1E">
        <w:rPr>
          <w:rFonts w:ascii="Arial" w:hAnsi="Arial" w:cs="Arial"/>
          <w:sz w:val="21"/>
          <w:szCs w:val="21"/>
          <w:lang w:val="en-GB"/>
        </w:rPr>
        <w:t>.</w:t>
      </w:r>
    </w:p>
    <w:p w14:paraId="3DBB7F3A" w14:textId="77777777" w:rsidR="00371C3E" w:rsidRPr="006D49B0" w:rsidRDefault="005B5EEC" w:rsidP="00407767">
      <w:pPr>
        <w:spacing w:line="360" w:lineRule="auto"/>
        <w:jc w:val="both"/>
        <w:rPr>
          <w:rFonts w:ascii="Arial" w:hAnsi="Arial" w:cs="Arial"/>
          <w:b/>
          <w:bCs/>
          <w:sz w:val="21"/>
          <w:szCs w:val="21"/>
          <w:lang w:val="en-GB"/>
        </w:rPr>
      </w:pPr>
      <w:r w:rsidRPr="006D49B0">
        <w:rPr>
          <w:rFonts w:ascii="Arial" w:hAnsi="Arial" w:cs="Arial"/>
          <w:b/>
          <w:bCs/>
          <w:sz w:val="21"/>
          <w:szCs w:val="21"/>
          <w:lang w:val="en-GB"/>
        </w:rPr>
        <w:t>Interpretation</w:t>
      </w:r>
      <w:r w:rsidR="00371C3E" w:rsidRPr="006D49B0">
        <w:rPr>
          <w:rFonts w:ascii="Arial" w:hAnsi="Arial" w:cs="Arial"/>
          <w:b/>
          <w:bCs/>
          <w:sz w:val="21"/>
          <w:szCs w:val="21"/>
          <w:lang w:val="en-GB"/>
        </w:rPr>
        <w:t xml:space="preserve">: </w:t>
      </w:r>
    </w:p>
    <w:p w14:paraId="29FF46CF" w14:textId="799A5473" w:rsidR="000A0F96" w:rsidRPr="006D49B0" w:rsidRDefault="000A0F96" w:rsidP="000A0F96">
      <w:pPr>
        <w:spacing w:line="360" w:lineRule="auto"/>
        <w:jc w:val="both"/>
        <w:rPr>
          <w:rFonts w:ascii="Arial" w:hAnsi="Arial" w:cs="Arial"/>
          <w:sz w:val="21"/>
          <w:szCs w:val="21"/>
          <w:lang w:val="en-GB"/>
        </w:rPr>
      </w:pPr>
      <w:r w:rsidRPr="006D49B0">
        <w:rPr>
          <w:rFonts w:ascii="Arial" w:hAnsi="Arial" w:cs="Arial"/>
          <w:sz w:val="21"/>
          <w:szCs w:val="21"/>
          <w:lang w:val="en-GB"/>
        </w:rPr>
        <w:t xml:space="preserve">Regardless of the elastographic </w:t>
      </w:r>
      <w:r w:rsidR="00843FE6">
        <w:rPr>
          <w:rFonts w:ascii="Arial" w:hAnsi="Arial" w:cs="Arial"/>
          <w:sz w:val="21"/>
          <w:szCs w:val="21"/>
          <w:lang w:val="en-GB"/>
        </w:rPr>
        <w:t>technique</w:t>
      </w:r>
      <w:r w:rsidR="00843FE6" w:rsidRPr="006D49B0">
        <w:rPr>
          <w:rFonts w:ascii="Arial" w:hAnsi="Arial" w:cs="Arial"/>
          <w:sz w:val="21"/>
          <w:szCs w:val="21"/>
          <w:lang w:val="en-GB"/>
        </w:rPr>
        <w:t xml:space="preserve"> </w:t>
      </w:r>
      <w:r w:rsidRPr="006D49B0">
        <w:rPr>
          <w:rFonts w:ascii="Arial" w:hAnsi="Arial" w:cs="Arial"/>
          <w:sz w:val="21"/>
          <w:szCs w:val="21"/>
          <w:lang w:val="en-GB"/>
        </w:rPr>
        <w:t xml:space="preserve">used, LSM has shown to be an accurate diagnostic tool for </w:t>
      </w:r>
      <w:r w:rsidR="004F6B1E">
        <w:rPr>
          <w:rFonts w:ascii="Arial" w:hAnsi="Arial" w:cs="Arial"/>
          <w:sz w:val="21"/>
          <w:szCs w:val="21"/>
          <w:lang w:val="en-GB"/>
        </w:rPr>
        <w:t>diagnosing</w:t>
      </w:r>
      <w:r w:rsidRPr="006D49B0">
        <w:rPr>
          <w:rFonts w:ascii="Arial" w:hAnsi="Arial" w:cs="Arial"/>
          <w:sz w:val="21"/>
          <w:szCs w:val="21"/>
          <w:lang w:val="en-GB"/>
        </w:rPr>
        <w:t xml:space="preserve"> VOD/SOS. This non-invasive approach, when in the hands of an expert haematologist and with the support of a multidisciplinary team, </w:t>
      </w:r>
      <w:r w:rsidR="004F6B1E">
        <w:rPr>
          <w:rFonts w:ascii="Arial" w:hAnsi="Arial" w:cs="Arial"/>
          <w:sz w:val="21"/>
          <w:szCs w:val="21"/>
          <w:lang w:val="en-GB"/>
        </w:rPr>
        <w:t>effectively guides the diagnosis and management of VOD/SOS</w:t>
      </w:r>
      <w:r w:rsidRPr="006D49B0">
        <w:rPr>
          <w:rFonts w:ascii="Arial" w:hAnsi="Arial" w:cs="Arial"/>
          <w:sz w:val="21"/>
          <w:szCs w:val="21"/>
          <w:lang w:val="en-GB"/>
        </w:rPr>
        <w:t>.</w:t>
      </w:r>
    </w:p>
    <w:p w14:paraId="4C52DFFA" w14:textId="6CBB2236" w:rsidR="005B5EEC" w:rsidRPr="006D49B0" w:rsidRDefault="005B5EEC" w:rsidP="000A0F96">
      <w:pPr>
        <w:spacing w:line="360" w:lineRule="auto"/>
        <w:jc w:val="both"/>
        <w:rPr>
          <w:rFonts w:ascii="Arial" w:hAnsi="Arial" w:cs="Arial"/>
          <w:sz w:val="21"/>
          <w:szCs w:val="21"/>
          <w:lang w:val="en-GB"/>
        </w:rPr>
      </w:pPr>
      <w:r w:rsidRPr="006D49B0">
        <w:rPr>
          <w:rFonts w:ascii="Arial" w:hAnsi="Arial" w:cs="Arial"/>
          <w:b/>
          <w:bCs/>
          <w:sz w:val="21"/>
          <w:szCs w:val="21"/>
          <w:lang w:val="en-GB"/>
        </w:rPr>
        <w:t xml:space="preserve">Funding: </w:t>
      </w:r>
      <w:r w:rsidRPr="006D49B0">
        <w:rPr>
          <w:rFonts w:ascii="Arial" w:hAnsi="Arial" w:cs="Arial"/>
          <w:sz w:val="21"/>
          <w:szCs w:val="21"/>
          <w:lang w:val="en-GB"/>
        </w:rPr>
        <w:t>No</w:t>
      </w:r>
      <w:r w:rsidR="00843FE6">
        <w:rPr>
          <w:rFonts w:ascii="Arial" w:hAnsi="Arial" w:cs="Arial"/>
          <w:sz w:val="21"/>
          <w:szCs w:val="21"/>
          <w:lang w:val="en-GB"/>
        </w:rPr>
        <w:t>ne</w:t>
      </w:r>
    </w:p>
    <w:p w14:paraId="24810D24" w14:textId="77777777" w:rsidR="007F4D27" w:rsidRDefault="007F4D27" w:rsidP="00407767">
      <w:pPr>
        <w:spacing w:line="360" w:lineRule="auto"/>
        <w:rPr>
          <w:rFonts w:ascii="Arial" w:hAnsi="Arial" w:cs="Arial"/>
          <w:sz w:val="20"/>
          <w:szCs w:val="20"/>
          <w:lang w:val="en-GB"/>
        </w:rPr>
      </w:pPr>
    </w:p>
    <w:p w14:paraId="00F1D8CF" w14:textId="77777777" w:rsidR="006E3005" w:rsidRDefault="006E3005" w:rsidP="00407767">
      <w:pPr>
        <w:spacing w:line="360" w:lineRule="auto"/>
        <w:rPr>
          <w:rFonts w:ascii="Arial" w:hAnsi="Arial" w:cs="Arial"/>
          <w:sz w:val="20"/>
          <w:szCs w:val="20"/>
          <w:lang w:val="en-GB"/>
        </w:rPr>
      </w:pPr>
    </w:p>
    <w:p w14:paraId="1C265BE1" w14:textId="77777777" w:rsidR="006D49B0" w:rsidRDefault="006D49B0" w:rsidP="00407767">
      <w:pPr>
        <w:spacing w:line="360" w:lineRule="auto"/>
        <w:rPr>
          <w:rFonts w:ascii="Arial" w:hAnsi="Arial" w:cs="Arial"/>
          <w:sz w:val="20"/>
          <w:szCs w:val="20"/>
          <w:lang w:val="en-GB"/>
        </w:rPr>
      </w:pPr>
    </w:p>
    <w:p w14:paraId="638D330E" w14:textId="77777777" w:rsidR="006D49B0" w:rsidRDefault="006D49B0" w:rsidP="00407767">
      <w:pPr>
        <w:spacing w:line="360" w:lineRule="auto"/>
        <w:rPr>
          <w:rFonts w:ascii="Arial" w:hAnsi="Arial" w:cs="Arial"/>
          <w:sz w:val="20"/>
          <w:szCs w:val="20"/>
          <w:lang w:val="en-GB"/>
        </w:rPr>
      </w:pPr>
    </w:p>
    <w:p w14:paraId="77A7B8A9" w14:textId="77777777" w:rsidR="00DF3A50" w:rsidRDefault="00DF3A50" w:rsidP="00407767">
      <w:pPr>
        <w:spacing w:line="360" w:lineRule="auto"/>
        <w:rPr>
          <w:rFonts w:ascii="Arial" w:hAnsi="Arial" w:cs="Arial"/>
          <w:sz w:val="20"/>
          <w:szCs w:val="20"/>
          <w:lang w:val="en-GB"/>
        </w:rPr>
      </w:pPr>
    </w:p>
    <w:p w14:paraId="34CFAB01" w14:textId="77777777" w:rsidR="00DF3A50" w:rsidRDefault="00DF3A50" w:rsidP="00407767">
      <w:pPr>
        <w:spacing w:line="360" w:lineRule="auto"/>
        <w:rPr>
          <w:rFonts w:ascii="Arial" w:hAnsi="Arial" w:cs="Arial"/>
          <w:sz w:val="20"/>
          <w:szCs w:val="20"/>
          <w:lang w:val="en-GB"/>
        </w:rPr>
      </w:pPr>
    </w:p>
    <w:p w14:paraId="385F337B" w14:textId="77777777" w:rsidR="00DF3A50" w:rsidRDefault="00DF3A50" w:rsidP="00407767">
      <w:pPr>
        <w:spacing w:line="360" w:lineRule="auto"/>
        <w:rPr>
          <w:rFonts w:ascii="Arial" w:hAnsi="Arial" w:cs="Arial"/>
          <w:sz w:val="20"/>
          <w:szCs w:val="20"/>
          <w:lang w:val="en-GB"/>
        </w:rPr>
      </w:pPr>
    </w:p>
    <w:p w14:paraId="2FE23864" w14:textId="77777777" w:rsidR="00DF3A50" w:rsidRDefault="00DF3A50" w:rsidP="00407767">
      <w:pPr>
        <w:spacing w:line="360" w:lineRule="auto"/>
        <w:rPr>
          <w:rFonts w:ascii="Arial" w:hAnsi="Arial" w:cs="Arial"/>
          <w:sz w:val="20"/>
          <w:szCs w:val="20"/>
          <w:lang w:val="en-GB"/>
        </w:rPr>
      </w:pPr>
    </w:p>
    <w:p w14:paraId="1168C193" w14:textId="77777777" w:rsidR="006D49B0" w:rsidRDefault="006D49B0" w:rsidP="00407767">
      <w:pPr>
        <w:spacing w:line="360" w:lineRule="auto"/>
        <w:jc w:val="both"/>
        <w:rPr>
          <w:rFonts w:ascii="Arial" w:hAnsi="Arial" w:cs="Arial"/>
          <w:sz w:val="20"/>
          <w:szCs w:val="20"/>
          <w:lang w:val="en-GB"/>
        </w:rPr>
      </w:pPr>
    </w:p>
    <w:p w14:paraId="7214AB28" w14:textId="0DB26F69" w:rsidR="00775704" w:rsidRPr="00BA3910" w:rsidRDefault="00775704" w:rsidP="00407767">
      <w:pPr>
        <w:spacing w:line="360" w:lineRule="auto"/>
        <w:jc w:val="both"/>
        <w:rPr>
          <w:rFonts w:ascii="Arial" w:hAnsi="Arial" w:cs="Arial"/>
          <w:b/>
          <w:bCs/>
          <w:sz w:val="28"/>
          <w:szCs w:val="28"/>
          <w:lang w:val="en-GB"/>
        </w:rPr>
      </w:pPr>
      <w:r w:rsidRPr="00BA3910">
        <w:rPr>
          <w:rFonts w:ascii="Arial" w:hAnsi="Arial" w:cs="Arial"/>
          <w:b/>
          <w:bCs/>
          <w:sz w:val="28"/>
          <w:szCs w:val="28"/>
          <w:lang w:val="en-GB"/>
        </w:rPr>
        <w:t>Introduction</w:t>
      </w:r>
    </w:p>
    <w:p w14:paraId="4707A4DD" w14:textId="712448A2" w:rsidR="00A82A28" w:rsidRPr="00BA3910" w:rsidRDefault="00A82A28" w:rsidP="00A82A28">
      <w:pPr>
        <w:spacing w:line="360" w:lineRule="auto"/>
        <w:jc w:val="both"/>
        <w:rPr>
          <w:rFonts w:ascii="Arial" w:hAnsi="Arial" w:cs="Arial"/>
          <w:color w:val="000000"/>
          <w:szCs w:val="32"/>
          <w:lang w:val="en-GB"/>
        </w:rPr>
      </w:pPr>
      <w:r w:rsidRPr="00BA3910">
        <w:rPr>
          <w:rFonts w:ascii="Arial" w:hAnsi="Arial" w:cs="Arial"/>
          <w:color w:val="000000"/>
          <w:szCs w:val="32"/>
          <w:lang w:val="en-GB"/>
        </w:rPr>
        <w:t>Veno-occlusive disease (</w:t>
      </w:r>
      <w:r w:rsidR="000D1ED3" w:rsidRPr="00BA3910">
        <w:rPr>
          <w:rFonts w:ascii="Arial" w:hAnsi="Arial" w:cs="Arial"/>
          <w:color w:val="000000"/>
          <w:szCs w:val="32"/>
          <w:lang w:val="en-GB"/>
        </w:rPr>
        <w:t>VOD</w:t>
      </w:r>
      <w:r w:rsidRPr="00BA3910">
        <w:rPr>
          <w:rFonts w:ascii="Arial" w:hAnsi="Arial" w:cs="Arial"/>
          <w:color w:val="000000"/>
          <w:szCs w:val="32"/>
          <w:lang w:val="en-GB"/>
        </w:rPr>
        <w:t xml:space="preserve">), also known as sinusoidal obstruction syndrome (SOS), is a potentially fatal complication </w:t>
      </w:r>
      <w:r w:rsidR="00CD661F">
        <w:rPr>
          <w:rFonts w:ascii="Arial" w:hAnsi="Arial" w:cs="Arial"/>
          <w:color w:val="000000"/>
          <w:szCs w:val="32"/>
          <w:lang w:val="en-GB"/>
        </w:rPr>
        <w:t xml:space="preserve">occurring after </w:t>
      </w:r>
      <w:r w:rsidRPr="00BA3910">
        <w:rPr>
          <w:rFonts w:ascii="Arial" w:hAnsi="Arial" w:cs="Arial"/>
          <w:color w:val="000000"/>
          <w:szCs w:val="32"/>
          <w:lang w:val="en-GB"/>
        </w:rPr>
        <w:t>hematopoietic stem cell transplantation (HSCT), high-dose chemotherapy, radiotherapy, liver transplantation, or ingestion of toxic alkaloids, albeit less frequently</w:t>
      </w:r>
      <w:r w:rsidR="009B1D29">
        <w:rPr>
          <w:rFonts w:ascii="Arial" w:hAnsi="Arial" w:cs="Arial"/>
          <w:color w:val="000000"/>
          <w:szCs w:val="32"/>
          <w:lang w:val="en-GB"/>
        </w:rPr>
        <w:fldChar w:fldCharType="begin"/>
      </w:r>
      <w:r w:rsidR="009B1D29">
        <w:rPr>
          <w:rFonts w:ascii="Arial" w:hAnsi="Arial" w:cs="Arial"/>
          <w:color w:val="000000"/>
          <w:szCs w:val="32"/>
          <w:lang w:val="en-GB"/>
        </w:rPr>
        <w:instrText xml:space="preserve"> ADDIN ZOTERO_ITEM CSL_CITATION {"citationID":"HlqDXbS9","properties":{"formattedCitation":"\\super 1\\nosupersub{}","plainCitation":"1","noteIndex":0},"citationItems":[{"id":6190,"uris":["http://zotero.org/users/9632340/items/R9J5J87N"],"itemData":{"id":6190,"type":"document","abstract":"Sinusoidal obstruction syndrome (SOS) is characterized by damage to small hepatic vessels affecting particularly sinusoidal endothelium. Damaged sinusoids can be associated with a partial or complete occlusion of small hepatic veins, hence the previous denomination of hepatic veno-occlusive disease (VOD). Exposure to certain exogenous toxins appears to be specific to this condition and is frequently included in its definition. Typical histopathological features of SOS in a liver biopsy specimen are presented in the text. The purpose of this article is to provide an overview on the different entities corresponding to this general definition. Such entities include: (i) liver disease related to pyrrolizidine alcaloids; (ii) liver injury related to conditioning for hematopoietic stem cell transplantation; (iii) vascular liver disease occurring in patients treated with chemotherapy for liver metastasis of colorectal cancer; and (iv) other liver diseases related to toxic agents.","note":"ISSN: 2210741X\nissue: 4\npage: 378–385\ncontainer-title: Clinics and Research in Hepatology and Gastroenterology\nvolume: 40\nDOI: 10.1016/j.clinre.2016.01.006\nPMID: 27038846","title":"Sinusoidal obstruction syndrome","author":[{"family":"Valla","given":"Dominique Charles"},{"family":"Cazals-Hatem","given":"Dominique"}],"issued":{"date-parts":[["2016",9]]}}}],"schema":"https://github.com/citation-style-language/schema/raw/master/csl-citation.json"} </w:instrText>
      </w:r>
      <w:r w:rsidR="009B1D29">
        <w:rPr>
          <w:rFonts w:ascii="Arial" w:hAnsi="Arial" w:cs="Arial"/>
          <w:color w:val="000000"/>
          <w:szCs w:val="32"/>
          <w:lang w:val="en-GB"/>
        </w:rPr>
        <w:fldChar w:fldCharType="separate"/>
      </w:r>
      <w:r w:rsidR="009B1D29" w:rsidRPr="009B1D29">
        <w:rPr>
          <w:rFonts w:ascii="Arial" w:hAnsi="Arial" w:cs="Arial"/>
          <w:color w:val="000000"/>
          <w:vertAlign w:val="superscript"/>
          <w:lang w:val="en-US"/>
        </w:rPr>
        <w:t>1</w:t>
      </w:r>
      <w:r w:rsidR="009B1D29">
        <w:rPr>
          <w:rFonts w:ascii="Arial" w:hAnsi="Arial" w:cs="Arial"/>
          <w:color w:val="000000"/>
          <w:szCs w:val="32"/>
          <w:lang w:val="en-GB"/>
        </w:rPr>
        <w:fldChar w:fldCharType="end"/>
      </w:r>
      <w:r w:rsidRPr="00BA3910">
        <w:rPr>
          <w:rFonts w:ascii="Arial" w:hAnsi="Arial" w:cs="Arial"/>
          <w:color w:val="000000"/>
          <w:szCs w:val="32"/>
          <w:lang w:val="en-GB"/>
        </w:rPr>
        <w:t>. The reported incidence varies widely based on diagnostic criteria and HSCT settings, ranging from 1.8% to 14%, with some peaking at 40%</w:t>
      </w:r>
      <w:r w:rsidR="009B1D29">
        <w:rPr>
          <w:rFonts w:ascii="Arial" w:hAnsi="Arial" w:cs="Arial"/>
          <w:color w:val="000000"/>
          <w:szCs w:val="32"/>
          <w:lang w:val="en-GB"/>
        </w:rPr>
        <w:fldChar w:fldCharType="begin"/>
      </w:r>
      <w:r w:rsidR="00F4766C">
        <w:rPr>
          <w:rFonts w:ascii="Arial" w:hAnsi="Arial" w:cs="Arial"/>
          <w:color w:val="000000"/>
          <w:szCs w:val="32"/>
          <w:lang w:val="en-GB"/>
        </w:rPr>
        <w:instrText xml:space="preserve"> ADDIN ZOTERO_ITEM CSL_CITATION {"citationID":"7LWUzonK","properties":{"formattedCitation":"\\super 2\\uc0\\u8211{}5\\nosupersub{}","plainCitation":"2–5","noteIndex":0},"citationItems":[{"id":10129,"uris":["http://zotero.org/users/9632340/items/Z328MIS8"],"itemData":{"id":10129,"type":"article-journal","container-title":"Bone Marrow Transplantation","DOI":"10.1038/s41409-023-01992-8","ISSN":"0268-3369, 1476-5365","issue":"7","journalAbbreviation":"Bone Marrow Transplant","language":"en","page":"749-754","source":"DOI.org (Crossref)","title":"Diagnosis and severity criteria for sinusoidal obstruction syndrome/veno-occlusive disease in adult patients: a refined classification from the European society for blood and marrow transplantation (EBMT)","title-short":"Diagnosis and severity criteria for sinusoidal obstruction syndrome/veno-occlusive disease in adult patients","volume":"58","author":[{"family":"Mohty","given":"Mohamad"},{"family":"Malard","given":"Florent"},{"family":"Alaskar","given":"Ahmed S."},{"family":"Aljurf","given":"Mahmoud"},{"family":"Arat","given":"Mutlu"},{"family":"Bader","given":"Peter"},{"family":"Baron","given":"Frederic"},{"family":"Bazarbachi","given":"Ali"},{"family":"Blaise","given":"Didier"},{"family":"Brissot","given":"Eolia"},{"family":"Ciceri","given":"Fabio"},{"family":"Corbacioglu","given":"Selim"},{"family":"Dalle","given":"Jean-Hugues"},{"family":"Dignan","given":"Fiona"},{"family":"Huynh","given":"Anne"},{"family":"Kenyon","given":"Michelle"},{"family":"Nagler","given":"Arnon"},{"family":"Pagliuca","given":"Antonio"},{"family":"Perić","given":"Zinaida"},{"family":"Richardson","given":"Paul G."},{"family":"Ruggeri","given":"Annalisa"},{"family":"Ruutu","given":"Tapani"},{"family":"Yakoub-Agha","given":"Ibrahim"},{"family":"Duarte","given":"Rafael F."},{"family":"Carreras","given":"Enric"}],"issued":{"date-parts":[["2023",7]]}}},{"id":10141,"uris":["http://zotero.org/users/9632340/items/3FIL2CTM"],"itemData":{"id":10141,"type":"article-journal","container-title":"Bone Marrow Transplantation","DOI":"10.1038/s41409-019-0705-z","ISSN":"0268-3369, 1476-5365","issue":"3","journalAbbreviation":"Bone Marrow Transplant","language":"en","page":"485-495","source":"DOI.org (Crossref)","title":"Prophylactic, preemptive, and curative treatment for sinusoidal obstruction syndrome/veno-occlusive disease in adult patients: a position statement from an international expert group","title-short":"Prophylactic, preemptive, and curative treatment for sinusoidal obstruction syndrome/veno-occlusive disease in adult patients","volume":"55","author":[{"family":"Mohty","given":"Mohamad"},{"family":"Malard","given":"Florent"},{"family":"Abecasis","given":"Manuel"},{"family":"Aerts","given":"Erik"},{"family":"Alaskar","given":"Ahmed S."},{"family":"Aljurf","given":"Mahmoud"},{"family":"Arat","given":"Mutlu"},{"family":"Bader","given":"Peter"},{"family":"Baron","given":"Frederic"},{"family":"Basak","given":"Grzegorz"},{"family":"Bazarbachi","given":"Ali"},{"family":"Blaise","given":"Didier"},{"family":"Ciceri","given":"Fabio"},{"family":"Corbacioglu","given":"Selim"},{"family":"Dalle","given":"Jean-Hugues"},{"family":"Dignan","given":"Fiona"},{"family":"Fukuda","given":"Takahiro"},{"family":"Huynh","given":"Anne"},{"family":"Kuball","given":"Jurgen"},{"family":"Lachance","given":"Silvy"},{"family":"Lazarus","given":"Hillard"},{"family":"Masszi","given":"Tamas"},{"family":"Michallet","given":"Mauricette"},{"family":"Nagler","given":"Arnon"},{"family":"NiChonghaile","given":"Mairead"},{"family":"Okamoto","given":"Shinichiro"},{"family":"Pagliuca","given":"Antonio"},{"family":"Peters","given":"Christina"},{"family":"Petersen","given":"Finn B."},{"family":"Richardson","given":"Paul G."},{"family":"Ruutu","given":"Tapani"},{"family":"Saber","given":"Wael"},{"family":"Savani","given":"Bipin N."},{"family":"Soiffer","given":"Robert"},{"family":"Styczynski","given":"Jan"},{"family":"Wallhult","given":"Elisabeth"},{"family":"Yakoub-Agha","given":"Ibrahim"},{"family":"Duarte","given":"Rafael F."},{"family":"Carreras","given":"Enric"}],"issued":{"date-parts":[["2020",3]]}},"locator":"202"},{"id":4102,"uris":["http://zotero.org/users/9632340/items/8CP6447J"],"itemData":{"id":4102,"type":"document","abstract":"The occurrence of hepatic veno-occlusive disease (VOD) has been reported in up to 60% of patients following stem cell transplantation (SCT), with incidence varying widely between studies depending on the type of transplant, conditioning regimen, and criteria used to make the diagnosis. Severe VOD is characterized by high mortality and progression to multiorgan failure (MOF); however, there is no consensus on how to evaluate severity. This review and analysis of published reports attempts to clarify these issues by calculating the overall mean incidence of VOD and mortality from severe VOD, examining the effect of changes in SCT practice on the incidence of VOD over time, and discussing the methods used to evaluate severity. Across 135 studies performed between 1979 and October 2007, the overall mean incidence of VOD was 13.7% (95% confidence interval [CI] = 13.3%-14.1%). The mean incidence of VOD was significantly lower between 1979-1994 than between 1994-2007 (11.5% [95% CI, 10.9%-12.1%] vs 14.6% [95% CI, 14.0%-15.2%]; P &lt; .05). The mortality rate from severe VOD was 84.3% (95% CI, 79.6%-88.9%); most of these patients had MOF, which also was the most frequent cause of death. Thus, VOD is less common than early reports suggested, but the current incidence appears to be relatively stable despite recent advances in SCT, including the advent of reduced-intensity conditioning. The evolution of MOF in the setting of VOD after SCT can be considered a reliable indication of severity and a predictor of poor outcome. © 2010 American Society for Blood and Marrow Transplantation.","note":"ISSN: 10838791\nissue: 2\npage: 157–168\ncontainer-title: Biology of Blood and Marrow Transplantation\nvolume: 16\nDOI: 10.1016/j.bbmt.2009.08.024\nPMID: 19766729","title":"Hepatic Veno-Occlusive Disease following Stem Cell Transplantation: Incidence, Clinical Course, and Outcome","author":[{"family":"Coppell","given":"Jason A."},{"family":"Richardson","given":"Paul G."},{"family":"Soiffer","given":"Robert"},{"family":"Martin","given":"Paul L."},{"family":"Kernan","given":"Nancy A."},{"family":"Chen","given":"Allen"},{"family":"Guinan","given":"Eva"},{"family":"Vogelsang","given":"Georgia"},{"family":"Krishnan","given":"Amrita"},{"family":"Giralt","given":"Sergio"},{"family":"Revta","given":"Carolyn"},{"family":"Carreau","given":"Nicole A."},{"family":"Iacobelli","given":"Massimo"},{"family":"Carreras","given":"Enric"},{"family":"Ruutu","given":"Tapani"},{"family":"Barbui","given":"Tiziano"},{"family":"Antin","given":"Joseph H."},{"family":"Niederwieser","given":"Dietger"}],"issued":{"date-parts":[["2010",2]]}}},{"id":4130,"uris":["http://zotero.org/users/9632340/items/3ECRK9BM"],"itemData":{"id":4130,"type":"article-journal","abstract":"The advances in hematopoietic cell transplantation (HCT) over the last decade have led to a transplant-related mortality below 15%. Hepatic sinusoidal obstruction syndrome/veno-occlusive disease (SOS/VOD) is a life-threatening complication of HCT that belongs to a group of diseases increasingly identified as transplant-related, systemic endothelial diseases. In most cases, SOS/VOD resolves within weeks; however, severe SOS/VOD results in multi-organ dysfunction/failure with a mortality rate &gt;80%. A timely diagnosis of SOS/VOD is of critical importance, given the availability of therapeutic options with favorable tolerability. Current diagnostic criteria are used for adults and children. However, over the last decade it has become clear that SOS/VOD is significantly different between the age groups in terms of incidence, genetic predisposition, clinical presentation, prevention, treatment and outcome. Improved understanding of SOS/VOD and the availability of effective treatment questions the use of the Baltimore and Seattle criteria for diagnosing SOS/VOD in children. The aim of this position paper is to propose new diagnostic and severity criteria for SOS/VOD in children on behalf of the European Society for Blood and Marrow Transplantation.","container-title":"Bone Marrow Transplantation","DOI":"10.1038/bmt.2017.161","ISSN":"14765365","issue":"2","note":"publisher: Nature Publishing Group\nPMID: 28759025","page":"138–145","title":"Diagnosis and severity criteria for sinusoidal obstruction syndrome/veno-occlusive disease in pediatric patients: A new classification from the European society for blood and marrow transplantation","volume":"53","author":[{"family":"Corbacioglu","given":"S."},{"family":"Carreras","given":"E."},{"family":"Ansari","given":"M."},{"family":"Balduzzi","given":"A."},{"family":"Cesaro","given":"S."},{"family":"Dalle","given":"J. H."},{"family":"Dignan","given":"F."},{"family":"Gibson","given":"B."},{"family":"Guengoer","given":"T."},{"family":"Gruhn","given":"B."},{"family":"Lankester","given":"A."},{"family":"Locatelli","given":"F."},{"family":"Pagliuca","given":"A."},{"family":"Peters","given":"C."},{"family":"Richardson","given":"P. G."},{"family":"Schulz","given":"A. S."},{"family":"Sedlacek","given":"P."},{"family":"Stein","given":"J."},{"family":"Sykora","given":"K. W."},{"family":"Toporski","given":"J."},{"family":"Trigoso","given":"E."},{"family":"Vetteranta","given":"K."},{"family":"Wachowiak","given":"J."},{"family":"Wallhult","given":"E."},{"family":"Wynn","given":"R."},{"family":"Yaniv","given":"I."},{"family":"Yesilipek","given":"A."},{"family":"Mohty","given":"M."},{"family":"Bader","given":"P."}],"issued":{"date-parts":[["2018",2]]}}}],"schema":"https://github.com/citation-style-language/schema/raw/master/csl-citation.json"} </w:instrText>
      </w:r>
      <w:r w:rsidR="009B1D29">
        <w:rPr>
          <w:rFonts w:ascii="Arial" w:hAnsi="Arial" w:cs="Arial"/>
          <w:color w:val="000000"/>
          <w:szCs w:val="32"/>
          <w:lang w:val="en-GB"/>
        </w:rPr>
        <w:fldChar w:fldCharType="separate"/>
      </w:r>
      <w:r w:rsidR="00F4766C" w:rsidRPr="00F4766C">
        <w:rPr>
          <w:rFonts w:ascii="Arial" w:hAnsi="Arial" w:cs="Arial"/>
          <w:color w:val="000000"/>
          <w:vertAlign w:val="superscript"/>
          <w:lang w:val="en-US"/>
        </w:rPr>
        <w:t>2–5</w:t>
      </w:r>
      <w:r w:rsidR="009B1D29">
        <w:rPr>
          <w:rFonts w:ascii="Arial" w:hAnsi="Arial" w:cs="Arial"/>
          <w:color w:val="000000"/>
          <w:szCs w:val="32"/>
          <w:lang w:val="en-GB"/>
        </w:rPr>
        <w:fldChar w:fldCharType="end"/>
      </w:r>
      <w:r w:rsidR="00F4766C">
        <w:rPr>
          <w:rFonts w:ascii="Arial" w:hAnsi="Arial" w:cs="Arial"/>
          <w:color w:val="000000"/>
          <w:szCs w:val="32"/>
          <w:lang w:val="en-GB"/>
        </w:rPr>
        <w:t xml:space="preserve">. </w:t>
      </w:r>
      <w:r w:rsidRPr="00BA3910">
        <w:rPr>
          <w:rFonts w:ascii="Arial" w:hAnsi="Arial" w:cs="Arial"/>
          <w:color w:val="000000"/>
          <w:szCs w:val="32"/>
          <w:lang w:val="en-GB"/>
        </w:rPr>
        <w:t xml:space="preserve">However, these values are predominantly derived from retrospective cohorts, and substantial prospective studies are lacking to precisely ascertain the true incidence and associated risk factors of </w:t>
      </w:r>
      <w:r w:rsidR="000D1ED3" w:rsidRPr="00BA3910">
        <w:rPr>
          <w:rFonts w:ascii="Arial" w:hAnsi="Arial" w:cs="Arial"/>
          <w:color w:val="000000"/>
          <w:szCs w:val="32"/>
          <w:lang w:val="en-GB"/>
        </w:rPr>
        <w:t>VOD/SOS</w:t>
      </w:r>
      <w:r w:rsidRPr="00BA3910">
        <w:rPr>
          <w:rFonts w:ascii="Arial" w:hAnsi="Arial" w:cs="Arial"/>
          <w:color w:val="000000"/>
          <w:szCs w:val="32"/>
          <w:lang w:val="en-GB"/>
        </w:rPr>
        <w:t xml:space="preserve"> in real clinical scenarios. Diagnosis of </w:t>
      </w:r>
      <w:r w:rsidR="000D1ED3" w:rsidRPr="00BA3910">
        <w:rPr>
          <w:rFonts w:ascii="Arial" w:hAnsi="Arial" w:cs="Arial"/>
          <w:color w:val="000000"/>
          <w:szCs w:val="32"/>
          <w:lang w:val="en-GB"/>
        </w:rPr>
        <w:t>VOD/SOS</w:t>
      </w:r>
      <w:r w:rsidRPr="00BA3910">
        <w:rPr>
          <w:rFonts w:ascii="Arial" w:hAnsi="Arial" w:cs="Arial"/>
          <w:color w:val="000000"/>
          <w:szCs w:val="32"/>
          <w:lang w:val="en-GB"/>
        </w:rPr>
        <w:t xml:space="preserve"> relies on various </w:t>
      </w:r>
      <w:r w:rsidR="00CD661F">
        <w:rPr>
          <w:rFonts w:ascii="Arial" w:hAnsi="Arial" w:cs="Arial"/>
          <w:color w:val="000000"/>
          <w:szCs w:val="32"/>
          <w:lang w:val="en-GB"/>
        </w:rPr>
        <w:t xml:space="preserve">diagnostic </w:t>
      </w:r>
      <w:r w:rsidRPr="00BA3910">
        <w:rPr>
          <w:rFonts w:ascii="Arial" w:hAnsi="Arial" w:cs="Arial"/>
          <w:color w:val="000000"/>
          <w:szCs w:val="32"/>
          <w:lang w:val="en-GB"/>
        </w:rPr>
        <w:t>criteria (such as the Seattle revised, Baltimore, and EBMT criteria), predominantly encompassing clinical manifestations like weight gain, painful hepatomegaly, ascites, and elevated bilirubin</w:t>
      </w:r>
      <w:r w:rsidR="00F4766C">
        <w:rPr>
          <w:rFonts w:ascii="Arial" w:hAnsi="Arial" w:cs="Arial"/>
          <w:color w:val="000000"/>
          <w:szCs w:val="32"/>
          <w:lang w:val="en-GB"/>
        </w:rPr>
        <w:fldChar w:fldCharType="begin"/>
      </w:r>
      <w:r w:rsidR="004F0C0D">
        <w:rPr>
          <w:rFonts w:ascii="Arial" w:hAnsi="Arial" w:cs="Arial"/>
          <w:color w:val="000000"/>
          <w:szCs w:val="32"/>
          <w:lang w:val="en-GB"/>
        </w:rPr>
        <w:instrText xml:space="preserve"> ADDIN ZOTERO_ITEM CSL_CITATION {"citationID":"cGmH9ASc","properties":{"formattedCitation":"\\super 6,7\\nosupersub{}","plainCitation":"6,7","noteIndex":0},"citationItems":[{"id":4120,"uris":["http://zotero.org/users/9632340/items/7XWXADS6"],"itemData":{"id":4120,"type":"article-journal","abstract":"Hepatic veno-occlusive disease/sinusoidal obstruction syndrome (VOD/SOS) is a potentially life-threatening complication of haematopoietic stem cell transplant (HSCT) conditioning and chemotherapy. Defibrotide is approved for treatment of hepatic VOD/SOS with pulmonary or renal dysfunction [i.e., multi-organ dysfunction (MOD)] after HSCT in the United States and severe VOD/SOS after HSCT in patients aged older than 1 month in the European Union. Defibrotide was available as an investigational drug by an expanded-access treatment programme (T-IND; NCT00628498). In the completed T-IND, the Kaplan–Meier estimated Day +100 survival for 1000 patients with documented defibrotide treatment after HSCT was 58·9% [95% confidence interval (CI), 55·7–61·9%]. Day +100 survival was also analysed by age and MOD status, and post hoc analyses were performed to determine Day +100 survival by transplant type, timing of VOD/SOS onset (≤21 or &gt;21 days) and timing of defibrotide treatment initiation after VOD/SOS diagnosis. Day +100 survival in paediatric patients was 67·9% (95% CI, 63·8–71·6%) and 47·1% (95% CI, 42·3–51·8%) in adults. All patient subgroups without MOD had higher Day +100 survival than those with MOD; earlier defibrotide initiation was also associated with higher Day +100 survival. The safety profile of defibrotide in the completed T-IND study was similar to previous reports.","container-title":"British Journal of Haematology","DOI":"10.1111/bjh.15267","ISSN":"13652141","issue":"6","note":"publisher: Blackwell Publishing Ltd\nPMID: 29767845","page":"816–827","title":"Final results from a defibrotide treatment-IND study for patients with hepatic veno-occlusive disease/sinusoidal obstruction syndrome","volume":"181","author":[{"family":"Kernan","given":"Nancy A."},{"family":"Grupp","given":"Stephan"},{"family":"Smith","given":"Angela R."},{"family":"Arai","given":"Sally"},{"family":"Triplett","given":"Brandon"},{"family":"Antin","given":"Joseph H."},{"family":"Lehmann","given":"Leslie"},{"family":"Shore","given":"Tsiporah"},{"family":"Ho","given":"Vincent T."},{"family":"Bunin","given":"Nancy"},{"family":"Iacobelli","given":"Massimo"},{"family":"Liang","given":"Wei"},{"family":"Hume","given":"Robin"},{"family":"Tappe","given":"William"},{"family":"Soiffer","given":"Robert"},{"family":"Richardson","given":"Paul"}],"issued":{"date-parts":[["2018",6]]}}},{"id":4151,"uris":["http://zotero.org/users/9632340/items/8K3LM6TT"],"itemData":{"id":4151,"type":"document","abstract":"Sinusoidal obstruction syndrome (SOS), previously known as hepatic veno-occlusive disease (VOD), remains a multi-organ system complication following haematopoietic cell transplantation (HCT). When SOS/VOD is accompanied by multi-organ dysfunction, overall mortality rates remain '80%. However, the definitions related to the diagnosis and grading of SOS/VOD after HCT are almost 25 years old and require new and contemporary modifications. Importantly, the pathophysiology of SOS/VOD, including the contribution of dysregulated inflammatory and coagulation cascades as well as the critical importance of liver and vascular derived endothelial dysfunction, have been elucidated. Here we summarise new information on pathogenesis of SOS/VOD; identify modifiable and unmodifiable risk factors for disease development; propose novel, contemporary and panel opinion-based diagnostic criteria and an innovative organ-based method of SOS/VOD grading classification; and review current approaches for prophylaxis and treatment of SOS/VOD. This review will hopefully illuminate pathways responsible for drug-induced liver injury and manifestations of disease, sharpen awareness of risk for disease development and enhance the timely and correct diagnosis of SOS/VOD post-HCT.","note":"ISSN: 13652141\nissue: 6\npage: 822–836\ncontainer-title: British Journal of Haematology\nvolume: 190\nDOI: 10.1111/bjh.16557\nPMID: 32133623","publisher":"Blackwell Publishing Ltd","title":"Modified diagnostic criteria, grading classification and newly elucidated pathophysiology of hepatic SOS/VOD after haematopoietic cell transplantation","author":[{"family":"Cairo","given":"Mitchell S."},{"family":"Cooke","given":"Kenneth R."},{"family":"Lazarus","given":"Hillard M."},{"family":"Chao","given":"Nelson"}],"issued":{"date-parts":[["2020",9]]}}}],"schema":"https://github.com/citation-style-language/schema/raw/master/csl-citation.json"} </w:instrText>
      </w:r>
      <w:r w:rsidR="00F4766C">
        <w:rPr>
          <w:rFonts w:ascii="Arial" w:hAnsi="Arial" w:cs="Arial"/>
          <w:color w:val="000000"/>
          <w:szCs w:val="32"/>
          <w:lang w:val="en-GB"/>
        </w:rPr>
        <w:fldChar w:fldCharType="separate"/>
      </w:r>
      <w:r w:rsidR="004F0C0D" w:rsidRPr="004F0C0D">
        <w:rPr>
          <w:rFonts w:ascii="Arial" w:hAnsi="Arial" w:cs="Arial"/>
          <w:color w:val="000000"/>
          <w:vertAlign w:val="superscript"/>
          <w:lang w:val="en-US"/>
        </w:rPr>
        <w:t>6,7</w:t>
      </w:r>
      <w:r w:rsidR="00F4766C">
        <w:rPr>
          <w:rFonts w:ascii="Arial" w:hAnsi="Arial" w:cs="Arial"/>
          <w:color w:val="000000"/>
          <w:szCs w:val="32"/>
          <w:lang w:val="en-GB"/>
        </w:rPr>
        <w:fldChar w:fldCharType="end"/>
      </w:r>
      <w:r w:rsidRPr="00BA3910">
        <w:rPr>
          <w:rFonts w:ascii="Arial" w:hAnsi="Arial" w:cs="Arial"/>
          <w:color w:val="000000"/>
          <w:szCs w:val="32"/>
          <w:lang w:val="en-GB"/>
        </w:rPr>
        <w:t>. Despite these criteria, accurate differential diagnosis remains challenging, potentially leading to underdiagnosis or treatment delays, adversely affecting patient outcomes.</w:t>
      </w:r>
    </w:p>
    <w:p w14:paraId="0B4C7FB1" w14:textId="37A0012D" w:rsidR="00A82A28" w:rsidRPr="00BA3910" w:rsidRDefault="00A82A28" w:rsidP="00A82A28">
      <w:pPr>
        <w:spacing w:line="360" w:lineRule="auto"/>
        <w:jc w:val="both"/>
        <w:rPr>
          <w:rFonts w:ascii="Arial" w:hAnsi="Arial" w:cs="Arial"/>
          <w:color w:val="000000"/>
          <w:szCs w:val="32"/>
          <w:lang w:val="en-GB"/>
        </w:rPr>
      </w:pPr>
      <w:r w:rsidRPr="00BA3910">
        <w:rPr>
          <w:rFonts w:ascii="Arial" w:hAnsi="Arial" w:cs="Arial"/>
          <w:color w:val="000000"/>
          <w:szCs w:val="32"/>
          <w:lang w:val="en-GB"/>
        </w:rPr>
        <w:t>The dynamic EBMT grading criteria play a crucial role in aiding physicians to make an operational diagnosis and prompt intervention, particularly in cases where the full diagnostic criteria might not be</w:t>
      </w:r>
      <w:r w:rsidR="00CD661F">
        <w:rPr>
          <w:rFonts w:ascii="Arial" w:hAnsi="Arial" w:cs="Arial"/>
          <w:color w:val="000000"/>
          <w:szCs w:val="32"/>
          <w:lang w:val="en-GB"/>
        </w:rPr>
        <w:t xml:space="preserve"> </w:t>
      </w:r>
      <w:r w:rsidRPr="00BA3910">
        <w:rPr>
          <w:rFonts w:ascii="Arial" w:hAnsi="Arial" w:cs="Arial"/>
          <w:color w:val="000000"/>
          <w:szCs w:val="32"/>
          <w:lang w:val="en-GB"/>
        </w:rPr>
        <w:t>met,</w:t>
      </w:r>
      <w:r w:rsidR="004F6B1E">
        <w:rPr>
          <w:rFonts w:ascii="Arial" w:hAnsi="Arial" w:cs="Arial"/>
          <w:color w:val="000000"/>
          <w:szCs w:val="32"/>
          <w:lang w:val="en-GB"/>
        </w:rPr>
        <w:t xml:space="preserve"> </w:t>
      </w:r>
      <w:r w:rsidR="00843FE6">
        <w:rPr>
          <w:rFonts w:ascii="Arial" w:hAnsi="Arial" w:cs="Arial"/>
          <w:color w:val="000000"/>
          <w:szCs w:val="32"/>
          <w:lang w:val="en-GB"/>
        </w:rPr>
        <w:t xml:space="preserve">with the aim to avoid </w:t>
      </w:r>
      <w:r w:rsidRPr="00BA3910">
        <w:rPr>
          <w:rFonts w:ascii="Arial" w:hAnsi="Arial" w:cs="Arial"/>
          <w:color w:val="000000"/>
          <w:szCs w:val="32"/>
          <w:lang w:val="en-GB"/>
        </w:rPr>
        <w:t xml:space="preserve">the progression of </w:t>
      </w:r>
      <w:r w:rsidR="000D1ED3" w:rsidRPr="00BA3910">
        <w:rPr>
          <w:rFonts w:ascii="Arial" w:hAnsi="Arial" w:cs="Arial"/>
          <w:color w:val="000000"/>
          <w:szCs w:val="32"/>
          <w:lang w:val="en-GB"/>
        </w:rPr>
        <w:t>VOD/SOS</w:t>
      </w:r>
      <w:r w:rsidRPr="00BA3910">
        <w:rPr>
          <w:rFonts w:ascii="Arial" w:hAnsi="Arial" w:cs="Arial"/>
          <w:color w:val="000000"/>
          <w:szCs w:val="32"/>
          <w:lang w:val="en-GB"/>
        </w:rPr>
        <w:t xml:space="preserve"> </w:t>
      </w:r>
      <w:r w:rsidR="00843FE6">
        <w:rPr>
          <w:rFonts w:ascii="Arial" w:hAnsi="Arial" w:cs="Arial"/>
          <w:color w:val="000000"/>
          <w:szCs w:val="32"/>
          <w:lang w:val="en-GB"/>
        </w:rPr>
        <w:t>in</w:t>
      </w:r>
      <w:r w:rsidRPr="00BA3910">
        <w:rPr>
          <w:rFonts w:ascii="Arial" w:hAnsi="Arial" w:cs="Arial"/>
          <w:color w:val="000000"/>
          <w:szCs w:val="32"/>
          <w:lang w:val="en-GB"/>
        </w:rPr>
        <w:t>to multi-organ dysfunction (MOD)</w:t>
      </w:r>
      <w:r w:rsidR="00F4766C">
        <w:rPr>
          <w:rFonts w:ascii="Arial" w:hAnsi="Arial" w:cs="Arial"/>
          <w:color w:val="000000"/>
          <w:szCs w:val="32"/>
          <w:lang w:val="en-GB"/>
        </w:rPr>
        <w:fldChar w:fldCharType="begin"/>
      </w:r>
      <w:r w:rsidR="004F0C0D">
        <w:rPr>
          <w:rFonts w:ascii="Arial" w:hAnsi="Arial" w:cs="Arial"/>
          <w:color w:val="000000"/>
          <w:szCs w:val="32"/>
          <w:lang w:val="en-GB"/>
        </w:rPr>
        <w:instrText xml:space="preserve"> ADDIN ZOTERO_ITEM CSL_CITATION {"citationID":"xCrhvwYf","properties":{"formattedCitation":"\\super 8\\nosupersub{}","plainCitation":"8","noteIndex":0},"citationItems":[{"id":4132,"uris":["http://zotero.org/users/9632340/items/GIUQJ8NL"],"itemData":{"id":4132,"type":"article-journal","abstract":"Sinusoidal obstruction syndrome, also known as veno-occlusive disease (SOS/VOD), is a potentially life threatening complication that can develop after hematopoietic cell transplantation. Although SOS/VOD progressively resolves within a few weeks in most patients, the most severe forms result in multi-organ dysfunction and are associated with a high mortality rate (&gt;80%). Therefore, careful attention must be paid to allow an early detection of SOS/VOD, particularly as drugs have now proven to be effective and licensed for its treatment. Unfortunately, current criteria lack sensitivity and specificity, making early identification and severity assessment of SOS/VOD difficult. The aim of this work is to propose a new definition for diagnosis, and a severity-grading system for SOS/VOD in adult patients, on behalf of the European Society for Blood and Marrow Transplantation.","container-title":"Bone Marrow Transplantation","DOI":"10.1038/bmt.2016.130","ISSN":"14765365","issue":"7","note":"publisher: Nature Publishing Group\nPMID: 27183098","page":"906–912","title":"Revised diagnosis and severity criteria for sinusoidal obstruction syndrome/veno-occlusive disease in adult patients: A new classification from the European Society for Blood and Marrow Transplantation","volume":"51","author":[{"family":"Mohty","given":"M."},{"family":"Malard","given":"F."},{"family":"Abecassis","given":"M."},{"family":"Aerts","given":"E."},{"family":"Alaskar","given":"A. S."},{"family":"Aljurf","given":"M."},{"family":"Arat","given":"M."},{"family":"Bader","given":"P."},{"family":"Baron","given":"F."},{"family":"Bazarbachi","given":"A."},{"family":"Blaise","given":"D."},{"family":"Ciceri","given":"F."},{"family":"Corbacioglu","given":"S."},{"family":"Dalle","given":"J. H."},{"family":"Dignan","given":"F."},{"family":"Fukuda","given":"T."},{"family":"Huynh","given":"A."},{"family":"Masszi","given":"T."},{"family":"Michallet","given":"M."},{"family":"Nagler","given":"A."},{"family":"NiChonghaile","given":"M."},{"family":"Okamoto","given":"S."},{"family":"Pagliuca","given":"A."},{"family":"Peters","given":"C."},{"family":"Petersen","given":"F. B."},{"family":"Richardson","given":"P. G."},{"family":"Ruutu","given":"T."},{"family":"Savani","given":"B. N."},{"family":"Wallhult","given":"E."},{"family":"Yakoub-Agha","given":"I."},{"family":"Duarte","given":"R. F."},{"family":"Carreras","given":"E."}],"issued":{"date-parts":[["2016",7]]}}}],"schema":"https://github.com/citation-style-language/schema/raw/master/csl-citation.json"} </w:instrText>
      </w:r>
      <w:r w:rsidR="00F4766C">
        <w:rPr>
          <w:rFonts w:ascii="Arial" w:hAnsi="Arial" w:cs="Arial"/>
          <w:color w:val="000000"/>
          <w:szCs w:val="32"/>
          <w:lang w:val="en-GB"/>
        </w:rPr>
        <w:fldChar w:fldCharType="separate"/>
      </w:r>
      <w:r w:rsidR="004F0C0D" w:rsidRPr="004F0C0D">
        <w:rPr>
          <w:rFonts w:ascii="Arial" w:hAnsi="Arial" w:cs="Arial"/>
          <w:color w:val="000000"/>
          <w:vertAlign w:val="superscript"/>
          <w:lang w:val="en-US"/>
        </w:rPr>
        <w:t>8</w:t>
      </w:r>
      <w:r w:rsidR="00F4766C">
        <w:rPr>
          <w:rFonts w:ascii="Arial" w:hAnsi="Arial" w:cs="Arial"/>
          <w:color w:val="000000"/>
          <w:szCs w:val="32"/>
          <w:lang w:val="en-GB"/>
        </w:rPr>
        <w:fldChar w:fldCharType="end"/>
      </w:r>
      <w:r w:rsidRPr="00BA3910">
        <w:rPr>
          <w:rFonts w:ascii="Arial" w:hAnsi="Arial" w:cs="Arial"/>
          <w:color w:val="000000"/>
          <w:szCs w:val="32"/>
          <w:lang w:val="en-GB"/>
        </w:rPr>
        <w:t xml:space="preserve">. From a pathophysiological perspective, </w:t>
      </w:r>
      <w:r w:rsidR="000D1ED3" w:rsidRPr="00BA3910">
        <w:rPr>
          <w:rFonts w:ascii="Arial" w:hAnsi="Arial" w:cs="Arial"/>
          <w:color w:val="000000"/>
          <w:szCs w:val="32"/>
          <w:lang w:val="en-GB"/>
        </w:rPr>
        <w:t>VOD/SOS</w:t>
      </w:r>
      <w:r w:rsidRPr="00BA3910">
        <w:rPr>
          <w:rFonts w:ascii="Arial" w:hAnsi="Arial" w:cs="Arial"/>
          <w:color w:val="000000"/>
          <w:szCs w:val="32"/>
          <w:lang w:val="en-GB"/>
        </w:rPr>
        <w:t xml:space="preserve"> is characterised by post-sinusoidal portal hypertension (PH) resulting from toxic injury induced by the conditioning regimen. Endothelial cell damage in the zona 3 of the liver acinus triggered by the conditioning regimen initiates a complex cascade leading to PH</w:t>
      </w:r>
      <w:r w:rsidR="00F4766C">
        <w:rPr>
          <w:rFonts w:ascii="Arial" w:hAnsi="Arial" w:cs="Arial"/>
          <w:color w:val="000000"/>
          <w:szCs w:val="32"/>
          <w:lang w:val="en-GB"/>
        </w:rPr>
        <w:fldChar w:fldCharType="begin"/>
      </w:r>
      <w:r w:rsidR="004F0C0D">
        <w:rPr>
          <w:rFonts w:ascii="Arial" w:hAnsi="Arial" w:cs="Arial"/>
          <w:color w:val="000000"/>
          <w:szCs w:val="32"/>
          <w:lang w:val="en-GB"/>
        </w:rPr>
        <w:instrText xml:space="preserve"> ADDIN ZOTERO_ITEM CSL_CITATION {"citationID":"H6Z7YyZI","properties":{"formattedCitation":"\\super 9\\nosupersub{}","plainCitation":"9","noteIndex":0},"citationItems":[{"id":4119,"uris":["http://zotero.org/users/9632340/items/PNPNMMG5"],"itemData":{"id":4119,"type":"document","abstract":"Introduction: Veno-occlusive-disease (VOD), known also as sinusoidal-obstruction-syndrome (SOS), is one of the main complications of haematopoietic stem cell transplantation and is related to the treatment with pyrrolizidine alkaloids or other toxic agents (chemotherapy for liver-metastasis). Clinical diagnosis using the recent criteria from the European Society for Blood and Marrow Transplantation, is the reference for VOD/SOS diagnosis. However, increasing evidence suggests the emerging role of several imaging methods that could help the clinician in VOD/SOS assessment. Areas covered: This review evaluates the current literature on the various imaging techniques used in VOD/SOS diagnosis in several clinical scenarios. Literature searches were performed using several keywords on MEDLINE/Ovid/In-Process/Cochrane Library/EMBASE and PubMed up to July 2018. Expert commentary: Hepatic-gradient-measurement (HVPG) and contextual transjugular-liver-biopsy are invasive and should always be considered in unclear cases. The main studies revolve around ultrasound with Doppler evaluation, identifying numerous findings suggestive of VOD/SOS. However, their accuracy and validation are still suboptimal and controversial. CT-Scan and MRI have shown encouraging data in other contexts in which VOD/SOS can develop, but studies on the post-HSCT patient are lacking. Elastography techniques measuring liver stiffness (LSM) represent the most recent and promising approach for an accurate and early diagnosis of VOD/SOS. In our view, a multidisciplinary approach to the VOD/SOS diagnosis should be highly encouraged.","note":"ISSN: 17474132\nissue: 5\npage: 463–484\ncontainer-title: Expert Review of Gastroenterology and Hepatology\nvolume: 13\nDOI: 10.1080/17474124.2019.1588111\nPMID: 30895833","publisher":"Taylor and Francis Ltd","title":"Role of imaging techniques in liver veno-occlusive disease diagnosis: recent advances and literature review","author":[{"family":"Ravaioli","given":"Federico"},{"family":"Colecchia","given":"Antonio"},{"family":"Alemanni","given":"Luigina Vanessa"},{"family":"Vestito","given":"Amanda"},{"family":"Dajti","given":"Elton"},{"family":"Marasco","given":"Giovanni"},{"family":"Sessa","given":"Mariarosaria"},{"family":"Pession","given":"Andrea"},{"family":"Bonifazi","given":"Francesca"},{"family":"Festi","given":"Davide"}],"issued":{"date-parts":[["2019",5]]}}}],"schema":"https://github.com/citation-style-language/schema/raw/master/csl-citation.json"} </w:instrText>
      </w:r>
      <w:r w:rsidR="00F4766C">
        <w:rPr>
          <w:rFonts w:ascii="Arial" w:hAnsi="Arial" w:cs="Arial"/>
          <w:color w:val="000000"/>
          <w:szCs w:val="32"/>
          <w:lang w:val="en-GB"/>
        </w:rPr>
        <w:fldChar w:fldCharType="separate"/>
      </w:r>
      <w:r w:rsidR="004F0C0D" w:rsidRPr="004F0C0D">
        <w:rPr>
          <w:rFonts w:ascii="Arial" w:hAnsi="Arial" w:cs="Arial"/>
          <w:color w:val="000000"/>
          <w:vertAlign w:val="superscript"/>
          <w:lang w:val="en-US"/>
        </w:rPr>
        <w:t>9</w:t>
      </w:r>
      <w:r w:rsidR="00F4766C">
        <w:rPr>
          <w:rFonts w:ascii="Arial" w:hAnsi="Arial" w:cs="Arial"/>
          <w:color w:val="000000"/>
          <w:szCs w:val="32"/>
          <w:lang w:val="en-GB"/>
        </w:rPr>
        <w:fldChar w:fldCharType="end"/>
      </w:r>
      <w:r w:rsidRPr="00BA3910">
        <w:rPr>
          <w:rFonts w:ascii="Arial" w:hAnsi="Arial" w:cs="Arial"/>
          <w:color w:val="000000"/>
          <w:szCs w:val="32"/>
          <w:lang w:val="en-GB"/>
        </w:rPr>
        <w:t>. The compromised endothelial layer between sinusoids and the Disse space allows the abnormal passage of red blood cells, white blood cells, and cellular debris, disrupting the thrombo-fibrinolytic balance, which in turn causes embolisation and impediment of hepatic blood flow downstream. This deranged thrombo-fibrinolytic equilibrium ultimately leads to post-sinusoidal portal hypertension, with subsequent activation of stellate cells, fibroblasts, and collagen deposition in the extracellular matrix, culminating in perivenular and parenchymal liver fibrosis</w:t>
      </w:r>
      <w:r w:rsidR="00F4766C">
        <w:rPr>
          <w:rFonts w:ascii="Arial" w:hAnsi="Arial" w:cs="Arial"/>
          <w:color w:val="000000"/>
          <w:szCs w:val="32"/>
          <w:lang w:val="en-GB"/>
        </w:rPr>
        <w:fldChar w:fldCharType="begin"/>
      </w:r>
      <w:r w:rsidR="004F0C0D">
        <w:rPr>
          <w:rFonts w:ascii="Arial" w:hAnsi="Arial" w:cs="Arial"/>
          <w:color w:val="000000"/>
          <w:szCs w:val="32"/>
          <w:lang w:val="en-GB"/>
        </w:rPr>
        <w:instrText xml:space="preserve"> ADDIN ZOTERO_ITEM CSL_CITATION {"citationID":"iXxy40Gf","properties":{"formattedCitation":"\\super 10\\nosupersub{}","plainCitation":"10","noteIndex":0},"citationItems":[{"id":4101,"uris":["http://zotero.org/users/9632340/items/ZW4V8M83"],"itemData":{"id":4101,"type":"article-journal","abstract":"The evolution of the incidence, morbidity, and mortality of veno-occlusive disease (VOD) was analyzed in 845 allogeneic hematopoietic stem cell transplantations (allo-HSCTs) performed over 24 years. A total of 117 patients and 73 patients developed VOD following the Seattle and the Baltimore diagnostic criteria, respectively (cumulative incidence 13.8% and 8.8%). The cumulative incidence was significantly higher in the period 1985 to 1996 than in 1997 to 2008 (11.5% vs 6.5%; P = .01). This decline was because of the low incidence of VOD among reduced-intensity conditioning-HSCT (RIC-HSCT) (2.1%) and the reduction among those receiving myeloablative-HSCT from unrelated donors (32.7% vs 10.5%, P = .001). A total of 35 patients had severe VOD (26 with multiorgan failure [MOF]), and 20 died by VOD (cumulative mortality rate 17.3%, Seattle, or 22.5%, Baltimore). The mortality declined since 1997 (from 22% to 9%; P = .06, Seattle, and from 36% to 14%; P = .04, Baltimore), with the introduction of defibrotide being the only relevant change in the management of patients. This occurred even though the severity of VOD was similar in both periods. Among those with MOF, only 2 of 8 (25%) receiving defibrotide died versus 14 of 18 (78%) receiving other treatments (P = .007). Myeloablative conditioning, previous liver disease, poor performance status, and alternative donors were the variables with higher impact on VOD development. In summary, although VOD remains a dreaded early complication of HSCT, technical and therapeutic progress in recent decades have notably reduced its incidence and improved the outcome. © 2011 American Society for Blood and Marrow Transplantation.","container-title":"Biology of Blood and Marrow Transplantation","DOI":"10.1016/j.bbmt.2011.06.006","ISSN":"10838791","issue":"11","note":"PMID: 21708110","page":"1713–1720","title":"The incidence of veno-occlusive disease following allogeneic hematopoietic stem cell transplantation has diminished and the outcome improved over the last decade","volume":"17","author":[{"family":"Carreras","given":"Enric"},{"family":"Díaz-Beyá","given":"Marina"},{"family":"Rosiñol","given":"Laura"},{"family":"Martínez","given":"Carmen"},{"family":"Fernández-Avilés","given":"Francesc"},{"family":"Rovira","given":"Montserrat"}],"issued":{"date-parts":[["2011",11]]}}}],"schema":"https://github.com/citation-style-language/schema/raw/master/csl-citation.json"} </w:instrText>
      </w:r>
      <w:r w:rsidR="00F4766C">
        <w:rPr>
          <w:rFonts w:ascii="Arial" w:hAnsi="Arial" w:cs="Arial"/>
          <w:color w:val="000000"/>
          <w:szCs w:val="32"/>
          <w:lang w:val="en-GB"/>
        </w:rPr>
        <w:fldChar w:fldCharType="separate"/>
      </w:r>
      <w:r w:rsidR="004F0C0D" w:rsidRPr="004F0C0D">
        <w:rPr>
          <w:rFonts w:ascii="Arial" w:hAnsi="Arial" w:cs="Arial"/>
          <w:color w:val="000000"/>
          <w:vertAlign w:val="superscript"/>
          <w:lang w:val="en-US"/>
        </w:rPr>
        <w:t>10</w:t>
      </w:r>
      <w:r w:rsidR="00F4766C">
        <w:rPr>
          <w:rFonts w:ascii="Arial" w:hAnsi="Arial" w:cs="Arial"/>
          <w:color w:val="000000"/>
          <w:szCs w:val="32"/>
          <w:lang w:val="en-GB"/>
        </w:rPr>
        <w:fldChar w:fldCharType="end"/>
      </w:r>
      <w:r w:rsidRPr="00BA3910">
        <w:rPr>
          <w:rFonts w:ascii="Arial" w:hAnsi="Arial" w:cs="Arial"/>
          <w:color w:val="000000"/>
          <w:szCs w:val="32"/>
          <w:lang w:val="en-GB"/>
        </w:rPr>
        <w:t xml:space="preserve">. The pivotal consequence of this process is the development of overt portal hypertension, manifesting clinically as ascites, hepatomegaly, and weight gain, among others. </w:t>
      </w:r>
    </w:p>
    <w:p w14:paraId="62998826" w14:textId="0B7733D9" w:rsidR="00A82A28" w:rsidRPr="00BA3910" w:rsidRDefault="00A82A28" w:rsidP="00685AAA">
      <w:pPr>
        <w:spacing w:line="360" w:lineRule="auto"/>
        <w:jc w:val="both"/>
        <w:rPr>
          <w:rFonts w:ascii="Arial" w:hAnsi="Arial" w:cs="Arial"/>
          <w:color w:val="000000"/>
          <w:szCs w:val="32"/>
          <w:lang w:val="en-GB"/>
        </w:rPr>
      </w:pPr>
      <w:r w:rsidRPr="00BA3910">
        <w:rPr>
          <w:rFonts w:ascii="Arial" w:hAnsi="Arial" w:cs="Arial"/>
          <w:color w:val="000000"/>
          <w:szCs w:val="32"/>
          <w:lang w:val="en-GB"/>
        </w:rPr>
        <w:t xml:space="preserve">Ultrasound assessment in </w:t>
      </w:r>
      <w:r w:rsidR="000D1ED3" w:rsidRPr="00BA3910">
        <w:rPr>
          <w:rFonts w:ascii="Arial" w:hAnsi="Arial" w:cs="Arial"/>
          <w:color w:val="000000"/>
          <w:szCs w:val="32"/>
          <w:lang w:val="en-GB"/>
        </w:rPr>
        <w:t>VOD/SOS</w:t>
      </w:r>
      <w:r w:rsidRPr="00BA3910">
        <w:rPr>
          <w:rFonts w:ascii="Arial" w:hAnsi="Arial" w:cs="Arial"/>
          <w:color w:val="000000"/>
          <w:szCs w:val="32"/>
          <w:lang w:val="en-GB"/>
        </w:rPr>
        <w:t xml:space="preserve"> diagnosis primarily relies on the evaluation of signs of portal hypertension and has been explored extensively in the literature</w:t>
      </w:r>
      <w:r w:rsidR="00F4766C">
        <w:rPr>
          <w:rFonts w:ascii="Arial" w:hAnsi="Arial" w:cs="Arial"/>
          <w:color w:val="000000"/>
          <w:szCs w:val="32"/>
          <w:lang w:val="en-GB"/>
        </w:rPr>
        <w:fldChar w:fldCharType="begin"/>
      </w:r>
      <w:r w:rsidR="004F0C0D">
        <w:rPr>
          <w:rFonts w:ascii="Arial" w:hAnsi="Arial" w:cs="Arial"/>
          <w:color w:val="000000"/>
          <w:szCs w:val="32"/>
          <w:lang w:val="en-GB"/>
        </w:rPr>
        <w:instrText xml:space="preserve"> ADDIN ZOTERO_ITEM CSL_CITATION {"citationID":"dkKOTQDd","properties":{"formattedCitation":"\\super 9,11\\uc0\\u8211{}14\\nosupersub{}","plainCitation":"9,11–14","noteIndex":0},"citationItems":[{"id":8621,"uris":["http://zotero.org/users/9632340/items/TC5LBSD3"],"itemData":{"id":8621,"type":"article-journal","abstract":"PURPOSE: To determine the value of gray-scale ultrasonography (US) and Doppler US in the prediction, diagnosis, and prognostic assessment of hepatic veno-occlusive disease (HVOD). MATERIALS AND METHODS: One hundred patients (median age, 22 years; range, 18 months to 59 years) receiving total body irradiation or busulfan therapy as intensive treatment before hematopoietic stem cell transplantation were studied prospectively. Each patient underwent gray-scale and Doppler US examination before transplantation and weekly thereafter while hospitalized (about four examinations per patient). Seven gray-scale morphologic criteria and seven Doppler criteria were studied, yielding three individual scores: gray-scale score, Doppler score, and total score. RESULTS: Twenty-five patients developed HVOD; nine of these patients died. Positive predictive values of the 14 criteria were 31%-95%, and negative predictive values were 85%-96%. The three scores correlated with the clinical diagnosis of HVOD. Depending on the cutoff value, the positive predictive value of the total score was 44%-89% and the negative predictive value was 91%-98%. The gray-scale and Doppler criteria differed significantly between patients with HVOD and those with graft-versus-host disease of the liver (P = 10(-4)). CONCLUSION: Even if there is overlap in findings between patients with and those without HVOD, gray-scale and Doppler US are valid for positive and differential diagnosis and have predictive and prognostic relevance.","container-title":"Radiology","DOI":"10.1148/radiology.204.2.9240551","ISSN":"0033-8419","issue":"2","note":"PMID: 9240551","page":"545–52","title":"Hepatic veno-occlusive disease after myeloablative treatment and bone marrow transplantation: value of gray-scale and Doppler US in 100 patients.","volume":"204","author":[{"family":"Lassau","given":"N"},{"family":"Leclère","given":"J"},{"family":"Auperin","given":"A"},{"family":"Bourhis","given":"J H"},{"family":"Hartmann","given":"O"},{"family":"Valteau-Couanet","given":"D"},{"family":"Benhamou","given":"E"},{"family":"Bosq","given":"J"},{"family":"Ibrahim","given":"A"},{"family":"Girinski","given":"T"},{"family":"Pico","given":"J L"},{"family":"Roche","given":"A"}],"issued":{"date-parts":[["1997",8]]}}},{"id":9134,"uris":["http://zotero.org/users/9632340/items/KXWZ4U9R"],"itemData":{"id":9134,"type":"article-journal","abstract":"BACKGROUND: Currently, the severity of veno-occlusive disease (VOD) is graded retrospectively on the basis of the evolution of clinical and biological criteria. The objective of this study was to describe a noninvasive method capable of predicting the severity of this disease at the time of the diagnosis. METHODS: Seventy-one children who developed VOD after intensive myeloablative therapy with busulfan before hematopoietic stem cell transplantation were included in this study. Sixty-four patients underwent baseline ultrasonography (US) and Doppler examination before transplantation. All patients had posttransplantation US and Doppler examinations at the time of the clinical and biological diagnosis of VOD. Seven US morphological criteria and seven Doppler criteria were studied that yielded three individual scores: a US score, a Doppler score, and a total Doppler ultrasonography (DUS) score. RESULTS: In the univariate analysis, three of 7 US criteria, three of 7 Doppler criteria, and the three scores were correlated with the severity of VOD after transplantation and at the time of the diagnosis. In the multivariate analysis, two US criteria (splenomegaly and ascites) and one Doppler criterion (flow recorded in para-umbilical vein) were correlated with the severity of VOD. The multivariate analysis of the pooled US and Doppler criteria showed that the flow recorded in the para-umbilical vein was the only criterion significantly associated with the grade of VOD (P=0.0001). All patients with a US-Doppler score &gt;9 developed grade 2 or 3 VOD. CONCLUSION: Postgraft US and Doppler examinations have a prognostic significance according to the grade of VOD.","container-title":"Transplantation","ISSN":"0041-1337","issue":"1","note":"PMID: 12134100","page":"60–6","title":"Prognostic value of doppler-ultrasonography in hepatic veno-occlusive disease.","volume":"74","author":[{"family":"Lassau","given":"Nathalie"},{"family":"Auperin","given":"Anne"},{"family":"Leclere","given":"Jerome"},{"family":"Bennaceur","given":"Annelise"},{"family":"Valteau-Couanet","given":"Dominique"},{"family":"Hartmann","given":"Olivier"}],"issued":{"date-parts":[["2002",7]]}}},{"id":4119,"uris":["http://zotero.org/users/9632340/items/PNPNMMG5"],"itemData":{"id":4119,"type":"document","abstract":"Introduction: Veno-occlusive-disease (VOD), known also as sinusoidal-obstruction-syndrome (SOS), is one of the main complications of haematopoietic stem cell transplantation and is related to the treatment with pyrrolizidine alkaloids or other toxic agents (chemotherapy for liver-metastasis). Clinical diagnosis using the recent criteria from the European Society for Blood and Marrow Transplantation, is the reference for VOD/SOS diagnosis. However, increasing evidence suggests the emerging role of several imaging methods that could help the clinician in VOD/SOS assessment. Areas covered: This review evaluates the current literature on the various imaging techniques used in VOD/SOS diagnosis in several clinical scenarios. Literature searches were performed using several keywords on MEDLINE/Ovid/In-Process/Cochrane Library/EMBASE and PubMed up to July 2018. Expert commentary: Hepatic-gradient-measurement (HVPG) and contextual transjugular-liver-biopsy are invasive and should always be considered in unclear cases. The main studies revolve around ultrasound with Doppler evaluation, identifying numerous findings suggestive of VOD/SOS. However, their accuracy and validation are still suboptimal and controversial. CT-Scan and MRI have shown encouraging data in other contexts in which VOD/SOS can develop, but studies on the post-HSCT patient are lacking. Elastography techniques measuring liver stiffness (LSM) represent the most recent and promising approach for an accurate and early diagnosis of VOD/SOS. In our view, a multidisciplinary approach to the VOD/SOS diagnosis should be highly encouraged.","note":"ISSN: 17474132\nissue: 5\npage: 463–484\ncontainer-title: Expert Review of Gastroenterology and Hepatology\nvolume: 13\nDOI: 10.1080/17474124.2019.1588111\nPMID: 30895833","publisher":"Taylor and Francis Ltd","title":"Role of imaging techniques in liver veno-occlusive disease diagnosis: recent advances and literature review","author":[{"family":"Ravaioli","given":"Federico"},{"family":"Colecchia","given":"Antonio"},{"family":"Alemanni","given":"Luigina Vanessa"},{"family":"Vestito","given":"Amanda"},{"family":"Dajti","given":"Elton"},{"family":"Marasco","given":"Giovanni"},{"family":"Sessa","given":"Mariarosaria"},{"family":"Pession","given":"Andrea"},{"family":"Bonifazi","given":"Francesca"},{"family":"Festi","given":"Davide"}],"issued":{"date-parts":[["2019",5]]}}},{"id":10127,"uris":["http://zotero.org/users/9632340/items/3TMSYD62"],"itemData":{"id":10127,"type":"article-journal","container-title":"International Journal of Hematology","DOI":"10.1007/s12185-021-03137-3","ISSN":"0925-5710, 1865-3774","issue":"1","journalAbbreviation":"Int J Hematol","language":"en","page":"94-101","source":"DOI.org (Crossref)","title":"Refined ultrasonographic criteria for sinusoidal obstruction syndrome after hematopoietic stem cell transplantation","volume":"114","author":[{"family":"Nishida","given":"Mutsumi"},{"family":"Sugita","given":"Junichi"},{"family":"Takahashi","given":"Shuichiro"},{"family":"Iwai","given":"Takahito"},{"family":"Sato","given":"Megumi"},{"family":"Kudo","given":"Yusuke"},{"family":"Omotehara","given":"Satomi"},{"family":"Horie","given":"Tatsunori"},{"family":"Sakano","given":"Ryosuke"},{"family":"Shibuya","given":"Hitoshi"},{"family":"Yokota","given":"Isao"},{"family":"Iguchi","given":"Akihiro"},{"family":"Teshima","given":"Takanori"}],"issued":{"date-parts":[["2021",7]]}}},{"id":4083,"uris":["http://zotero.org/users/9632340/items/RBUT9TJ6"],"itemData":{"id":4083,"type":"article-journal","abstract":"Sinusoidal obstruction syndrome (SOS)/hepatic veno-occlusive disease (VOD) is a well-documented complication after hematopoietic stem cell transplantation (HSCT). Transabdominal ultrasonography (US) enables the visualization of blood flow abnormalities and is therefore useful for the diagnosis of SOS/VOD. We herein prospectively evaluated accuracy of a novel US diagnostic scoring system of SOS/VOD based on US findings. We carried out US in 106 patients on day 14 and when SOS/VOD was suspected after allogeneic HSCT. Among 106 patients, 10 patients (9.4%) were diagnosed as SOS/VOD by Baltimore or Seattle criteria. According to univariate analysis of 17 US findings (US-17 screening), we established a novel scoring system (HokUS-10) consisting of 10 parameters, such as gallbladder wall thickening, ascites, and blood flow signal in the paraumbilical vein. The sensitivity and specificity were 100% and 95.8%, respectively. Diagnostic performance of the HokUS-10 was significantly better than US-17 screening. In 4 of 10 patients US detection of SOS/VOD preceded to clinical diagnosis. The HokUS-10 scoring system is useful in the diagnosis of SOS/VOD; however, our results should be validated in other cohorts.","container-title":"Biology of Blood and Marrow Transplantation","DOI":"10.1016/j.bbmt.2018.05.025","ISSN":"15236536","issue":"9","note":"publisher: Elsevier Inc.\nPMID: 29803752","page":"1896–1900","title":"Novel Ultrasonographic Scoring System of Sinusoidal Obstruction Syndrome after Hematopoietic Stem Cell Transplantation","volume":"24","author":[{"family":"Nishida","given":"Mutsumi"},{"family":"Kahata","given":"Kaoru"},{"family":"Hayase","given":"Eiko"},{"family":"Shigematsu","given":"Akio"},{"family":"Sato","given":"Megumi"},{"family":"Kudo","given":"Yusuke"},{"family":"Omotehara","given":"Satomi"},{"family":"Iwai","given":"Takahito"},{"family":"Sugita","given":"Junichi"},{"family":"Shibuya","given":"Hitoshi"},{"family":"Shimizu","given":"Chikara"},{"family":"Teshima","given":"Takanori"}],"issued":{"date-parts":[["2018",9]]}}}],"schema":"https://github.com/citation-style-language/schema/raw/master/csl-citation.json"} </w:instrText>
      </w:r>
      <w:r w:rsidR="00F4766C">
        <w:rPr>
          <w:rFonts w:ascii="Arial" w:hAnsi="Arial" w:cs="Arial"/>
          <w:color w:val="000000"/>
          <w:szCs w:val="32"/>
          <w:lang w:val="en-GB"/>
        </w:rPr>
        <w:fldChar w:fldCharType="separate"/>
      </w:r>
      <w:r w:rsidR="004F0C0D" w:rsidRPr="004F0C0D">
        <w:rPr>
          <w:rFonts w:ascii="Arial" w:hAnsi="Arial" w:cs="Arial"/>
          <w:color w:val="000000"/>
          <w:vertAlign w:val="superscript"/>
          <w:lang w:val="en-US"/>
        </w:rPr>
        <w:t>9,11–14</w:t>
      </w:r>
      <w:r w:rsidR="00F4766C">
        <w:rPr>
          <w:rFonts w:ascii="Arial" w:hAnsi="Arial" w:cs="Arial"/>
          <w:color w:val="000000"/>
          <w:szCs w:val="32"/>
          <w:lang w:val="en-GB"/>
        </w:rPr>
        <w:fldChar w:fldCharType="end"/>
      </w:r>
      <w:r w:rsidR="00F4766C">
        <w:rPr>
          <w:rFonts w:ascii="Arial" w:hAnsi="Arial" w:cs="Arial"/>
          <w:color w:val="000000"/>
          <w:szCs w:val="32"/>
          <w:lang w:val="en-GB"/>
        </w:rPr>
        <w:t xml:space="preserve">. </w:t>
      </w:r>
      <w:r w:rsidRPr="00BA3910">
        <w:rPr>
          <w:rFonts w:ascii="Arial" w:hAnsi="Arial" w:cs="Arial"/>
          <w:color w:val="000000"/>
          <w:szCs w:val="32"/>
          <w:lang w:val="en-GB"/>
        </w:rPr>
        <w:t xml:space="preserve">While it can contribute significantly to diagnosis, its utility is often limited by delayed findings (especially Doppler parameters and patency of the paraumbilical vein) and variability due to operator dependence. Moreover, suboptimal sensitivity and specificity hinder the effective utilisation of ultrasonography for accurate and early </w:t>
      </w:r>
      <w:r w:rsidR="000D1ED3" w:rsidRPr="00BA3910">
        <w:rPr>
          <w:rFonts w:ascii="Arial" w:hAnsi="Arial" w:cs="Arial"/>
          <w:color w:val="000000"/>
          <w:szCs w:val="32"/>
          <w:lang w:val="en-GB"/>
        </w:rPr>
        <w:t>VOD/SOS</w:t>
      </w:r>
      <w:r w:rsidRPr="00BA3910">
        <w:rPr>
          <w:rFonts w:ascii="Arial" w:hAnsi="Arial" w:cs="Arial"/>
          <w:color w:val="000000"/>
          <w:szCs w:val="32"/>
          <w:lang w:val="en-GB"/>
        </w:rPr>
        <w:t xml:space="preserve"> diagnosis and prognostication of clinical progression</w:t>
      </w:r>
      <w:r w:rsidR="00F4766C">
        <w:rPr>
          <w:rFonts w:ascii="Arial" w:hAnsi="Arial" w:cs="Arial"/>
          <w:color w:val="000000"/>
          <w:szCs w:val="32"/>
          <w:lang w:val="en-GB"/>
        </w:rPr>
        <w:fldChar w:fldCharType="begin"/>
      </w:r>
      <w:r w:rsidR="004F0C0D">
        <w:rPr>
          <w:rFonts w:ascii="Arial" w:hAnsi="Arial" w:cs="Arial"/>
          <w:color w:val="000000"/>
          <w:szCs w:val="32"/>
          <w:lang w:val="en-GB"/>
        </w:rPr>
        <w:instrText xml:space="preserve"> ADDIN ZOTERO_ITEM CSL_CITATION {"citationID":"YnFtqSns","properties":{"formattedCitation":"\\super 15\\nosupersub{}","plainCitation":"15","noteIndex":0},"citationItems":[{"id":4284,"uris":["http://zotero.org/users/9632340/items/FIBFP6YQ"],"itemData":{"id":4284,"type":"article-journal","abstract":"Veno-occlusive disease/sinusoidal obstruction syndrome (VOD/SOS) is a potentially life-threatening complication of hematopoietic cell transplantation. Early diagnosis and, subsequently, earlier intervention have been shown to be beneficial to clinical outcomes. Diagnostic criteria from the European Society for Blood and Marrow Transplantation include recommendations on the use of imaging for diagnosis. This review discusses evidence on the use of imaging in the management of VOD/SOS and how imaging biomarkers can contribute to earlier diagnosis/treatment.","container-title":"Biology of Blood and Marrow Transplantation","DOI":"10.1016/j.bbmt.2020.06.016","ISSN":"15236536","issue":"10","note":"publisher: Elsevier\nPMID: 32593647","page":"1770–1779","title":"Imaging in Hepatic Veno-Occlusive Disease/Sinusoidal Obstruction Syndrome","volume":"26","author":[{"family":"Chan","given":"Sherwin S."},{"family":"Colecchia","given":"Antonio"},{"family":"Duarte","given":"Rafael F."},{"family":"Bonifazi","given":"Francesca"},{"family":"Ravaioli","given":"Federico"},{"family":"Bourhis","given":"Jean Henri"}],"issued":{"date-parts":[["2020",6]]}}}],"schema":"https://github.com/citation-style-language/schema/raw/master/csl-citation.json"} </w:instrText>
      </w:r>
      <w:r w:rsidR="00F4766C">
        <w:rPr>
          <w:rFonts w:ascii="Arial" w:hAnsi="Arial" w:cs="Arial"/>
          <w:color w:val="000000"/>
          <w:szCs w:val="32"/>
          <w:lang w:val="en-GB"/>
        </w:rPr>
        <w:fldChar w:fldCharType="separate"/>
      </w:r>
      <w:r w:rsidR="004F0C0D" w:rsidRPr="004F0C0D">
        <w:rPr>
          <w:rFonts w:ascii="Arial" w:hAnsi="Arial" w:cs="Arial"/>
          <w:color w:val="000000"/>
          <w:vertAlign w:val="superscript"/>
          <w:lang w:val="en-US"/>
        </w:rPr>
        <w:t>15</w:t>
      </w:r>
      <w:r w:rsidR="00F4766C">
        <w:rPr>
          <w:rFonts w:ascii="Arial" w:hAnsi="Arial" w:cs="Arial"/>
          <w:color w:val="000000"/>
          <w:szCs w:val="32"/>
          <w:lang w:val="en-GB"/>
        </w:rPr>
        <w:fldChar w:fldCharType="end"/>
      </w:r>
      <w:r w:rsidRPr="00BA3910">
        <w:rPr>
          <w:rFonts w:ascii="Arial" w:hAnsi="Arial" w:cs="Arial"/>
          <w:color w:val="000000"/>
          <w:szCs w:val="32"/>
          <w:lang w:val="en-GB"/>
        </w:rPr>
        <w:t>. Invasive measures of portal hypertension, such as hepatic venous pressure gradient (HVPG) measurement</w:t>
      </w:r>
      <w:r w:rsidR="004F6B1E">
        <w:rPr>
          <w:rFonts w:ascii="Arial" w:hAnsi="Arial" w:cs="Arial"/>
          <w:color w:val="000000"/>
          <w:szCs w:val="32"/>
          <w:lang w:val="en-GB"/>
        </w:rPr>
        <w:t xml:space="preserve"> and liver biopsy,</w:t>
      </w:r>
      <w:r w:rsidRPr="00BA3910">
        <w:rPr>
          <w:rFonts w:ascii="Arial" w:hAnsi="Arial" w:cs="Arial"/>
          <w:color w:val="000000"/>
          <w:szCs w:val="32"/>
          <w:lang w:val="en-GB"/>
        </w:rPr>
        <w:t xml:space="preserve"> have</w:t>
      </w:r>
      <w:r w:rsidR="002D3B0E">
        <w:rPr>
          <w:rFonts w:ascii="Arial" w:hAnsi="Arial" w:cs="Arial"/>
          <w:color w:val="000000"/>
          <w:szCs w:val="32"/>
          <w:lang w:val="en-GB"/>
        </w:rPr>
        <w:t xml:space="preserve"> a</w:t>
      </w:r>
      <w:r w:rsidRPr="00BA3910">
        <w:rPr>
          <w:rFonts w:ascii="Arial" w:hAnsi="Arial" w:cs="Arial"/>
          <w:color w:val="000000"/>
          <w:szCs w:val="32"/>
          <w:lang w:val="en-GB"/>
        </w:rPr>
        <w:t xml:space="preserve"> </w:t>
      </w:r>
      <w:r w:rsidR="002D3B0E">
        <w:rPr>
          <w:rFonts w:ascii="Arial" w:hAnsi="Arial" w:cs="Arial"/>
          <w:color w:val="000000"/>
          <w:szCs w:val="32"/>
          <w:lang w:val="en-GB"/>
        </w:rPr>
        <w:t>narrow</w:t>
      </w:r>
      <w:r w:rsidR="00CD661F" w:rsidRPr="00BA3910">
        <w:rPr>
          <w:rFonts w:ascii="Arial" w:hAnsi="Arial" w:cs="Arial"/>
          <w:color w:val="000000"/>
          <w:szCs w:val="32"/>
          <w:lang w:val="en-GB"/>
        </w:rPr>
        <w:t xml:space="preserve"> </w:t>
      </w:r>
      <w:r w:rsidRPr="00BA3910">
        <w:rPr>
          <w:rFonts w:ascii="Arial" w:hAnsi="Arial" w:cs="Arial"/>
          <w:color w:val="000000"/>
          <w:szCs w:val="32"/>
          <w:lang w:val="en-GB"/>
        </w:rPr>
        <w:t>role due to their invasiveness</w:t>
      </w:r>
      <w:r w:rsidR="004F6B1E">
        <w:rPr>
          <w:rFonts w:ascii="Arial" w:hAnsi="Arial" w:cs="Arial"/>
          <w:color w:val="000000"/>
          <w:szCs w:val="32"/>
          <w:lang w:val="en-GB"/>
        </w:rPr>
        <w:t>,</w:t>
      </w:r>
      <w:r w:rsidRPr="00BA3910">
        <w:rPr>
          <w:rFonts w:ascii="Arial" w:hAnsi="Arial" w:cs="Arial"/>
          <w:color w:val="000000"/>
          <w:szCs w:val="32"/>
          <w:lang w:val="en-GB"/>
        </w:rPr>
        <w:t xml:space="preserve"> </w:t>
      </w:r>
      <w:r w:rsidR="00CD661F">
        <w:rPr>
          <w:rFonts w:ascii="Arial" w:hAnsi="Arial" w:cs="Arial"/>
          <w:color w:val="000000"/>
          <w:szCs w:val="32"/>
          <w:lang w:val="en-GB"/>
        </w:rPr>
        <w:t>which implies the need of well trained</w:t>
      </w:r>
      <w:r w:rsidR="004A3B2D">
        <w:rPr>
          <w:rFonts w:ascii="Arial" w:hAnsi="Arial" w:cs="Arial"/>
          <w:color w:val="000000"/>
          <w:szCs w:val="32"/>
          <w:lang w:val="en-GB"/>
        </w:rPr>
        <w:t xml:space="preserve"> multidisciplinary</w:t>
      </w:r>
      <w:r w:rsidRPr="00BA3910">
        <w:rPr>
          <w:rFonts w:ascii="Arial" w:hAnsi="Arial" w:cs="Arial"/>
          <w:color w:val="000000"/>
          <w:szCs w:val="32"/>
          <w:lang w:val="en-GB"/>
        </w:rPr>
        <w:t xml:space="preserve"> expertise</w:t>
      </w:r>
      <w:r w:rsidR="004A3B2D">
        <w:rPr>
          <w:rFonts w:ascii="Arial" w:hAnsi="Arial" w:cs="Arial"/>
          <w:color w:val="000000"/>
          <w:szCs w:val="32"/>
          <w:lang w:val="en-GB"/>
        </w:rPr>
        <w:t xml:space="preserve"> to limit the harm</w:t>
      </w:r>
      <w:r w:rsidR="002D3B0E">
        <w:rPr>
          <w:rFonts w:ascii="Arial" w:hAnsi="Arial" w:cs="Arial"/>
          <w:color w:val="000000"/>
          <w:szCs w:val="32"/>
          <w:lang w:val="en-GB"/>
        </w:rPr>
        <w:t xml:space="preserve"> of such procedures</w:t>
      </w:r>
      <w:r w:rsidRPr="00BA3910">
        <w:rPr>
          <w:rFonts w:ascii="Arial" w:hAnsi="Arial" w:cs="Arial"/>
          <w:color w:val="000000"/>
          <w:szCs w:val="32"/>
          <w:lang w:val="en-GB"/>
        </w:rPr>
        <w:t xml:space="preserve">, emphasising the ongoing need for precise non-invasive diagnostic tools for </w:t>
      </w:r>
      <w:r w:rsidR="000D1ED3" w:rsidRPr="00BA3910">
        <w:rPr>
          <w:rFonts w:ascii="Arial" w:hAnsi="Arial" w:cs="Arial"/>
          <w:color w:val="000000"/>
          <w:szCs w:val="32"/>
          <w:lang w:val="en-GB"/>
        </w:rPr>
        <w:t>VOD/SOS</w:t>
      </w:r>
      <w:r w:rsidR="00F4766C">
        <w:rPr>
          <w:rFonts w:ascii="Arial" w:hAnsi="Arial" w:cs="Arial"/>
          <w:color w:val="000000"/>
          <w:szCs w:val="32"/>
          <w:lang w:val="en-GB"/>
        </w:rPr>
        <w:fldChar w:fldCharType="begin"/>
      </w:r>
      <w:r w:rsidR="004F0C0D">
        <w:rPr>
          <w:rFonts w:ascii="Arial" w:hAnsi="Arial" w:cs="Arial"/>
          <w:color w:val="000000"/>
          <w:szCs w:val="32"/>
          <w:lang w:val="en-GB"/>
        </w:rPr>
        <w:instrText xml:space="preserve"> ADDIN ZOTERO_ITEM CSL_CITATION {"citationID":"qS1rXjyN","properties":{"formattedCitation":"\\super 16\\nosupersub{}","plainCitation":"16","noteIndex":0},"citationItems":[{"id":9591,"uris":["http://zotero.org/users/9632340/items/6SAMHSPZ"],"itemData":{"id":9591,"type":"article-journal","abstract":"Hepatic veno-occlusive disease (VOD) or sinusoidal obstruction syndrome (SOS) is a rare complication characterized by hepatomegaly, right-upper quadrant pain, jaundice, and ascites, occurring after high-dose chemotherapy, hematopoietic stem cell transplantation (HSCT) and, less commonly, other conditions. We review pathogenesis, clinical appearance and diagnostic criteria, risk factors, prophylaxis, and treatment of the VOD occurring post-HSCT. The injury of the sinusoidal endothelial cells with loss of wall integrity and sinusoidal obstruction is the basis of development of postsinusoidal portal hypertension responsible for clinical syndrome. Risk factors associated with the onset of VOD and diagnostic tools have been recently updated both in the pediatric and adult settings and here are reported. Treatment includes supportive care, intensive management, and specific drug therapy with defibrotide. Because of its severity, particularly in VOD with associated multiorgan disease, prophylaxis approaches are under investigation. During the last years, decreased mortality associated to VOD/SOS has been reported being it attributable to a better intensive and multidisciplinary approach.","archive":"Embase","container-title":"Frontiers in Immunology","DOI":"10.3389/fimmu.2020.00489","ISSN":"1664-3224","issue":"(Bonifazi F., francesca.bonifazi@unibo.it; Barbato F.; Defrancesco I.; Arpinati M.; Cavo M.) Institute of Hematology “L. and A. Seràgnoli, S. Orsola-Malpighi University Hospital, Bologna, Italy","journalAbbreviation":"Front. Immunol.","language":"English","license":"All rights reserved","title":"Diagnosis and Treatment of VOD/SOS After Allogeneic Hematopoietic Stem Cell Transplantation","URL":"https://www.embase.com/search/results?subaction=viewrecord&amp;id=L631509558&amp;from=export","volume":"11","author":[{"family":"Bonifazi","given":"F."},{"family":"Barbato","given":"F."},{"family":"Ravaioli","given":"F."},{"family":"Sessa","given":"M."},{"family":"Defrancesco","given":"I."},{"family":"Arpinati","given":"M."},{"family":"Cavo","given":"M."},{"family":"Colecchia","given":"A."}],"issued":{"date-parts":[["2020"]]}}}],"schema":"https://github.com/citation-style-language/schema/raw/master/csl-citation.json"} </w:instrText>
      </w:r>
      <w:r w:rsidR="00F4766C">
        <w:rPr>
          <w:rFonts w:ascii="Arial" w:hAnsi="Arial" w:cs="Arial"/>
          <w:color w:val="000000"/>
          <w:szCs w:val="32"/>
          <w:lang w:val="en-GB"/>
        </w:rPr>
        <w:fldChar w:fldCharType="separate"/>
      </w:r>
      <w:r w:rsidR="004F0C0D" w:rsidRPr="004F0C0D">
        <w:rPr>
          <w:rFonts w:ascii="Arial" w:hAnsi="Arial" w:cs="Arial"/>
          <w:color w:val="000000"/>
          <w:vertAlign w:val="superscript"/>
          <w:lang w:val="en-US"/>
        </w:rPr>
        <w:t>16</w:t>
      </w:r>
      <w:r w:rsidR="00F4766C">
        <w:rPr>
          <w:rFonts w:ascii="Arial" w:hAnsi="Arial" w:cs="Arial"/>
          <w:color w:val="000000"/>
          <w:szCs w:val="32"/>
          <w:lang w:val="en-GB"/>
        </w:rPr>
        <w:fldChar w:fldCharType="end"/>
      </w:r>
      <w:r w:rsidRPr="00BA3910">
        <w:rPr>
          <w:rFonts w:ascii="Arial" w:hAnsi="Arial" w:cs="Arial"/>
          <w:color w:val="000000"/>
          <w:szCs w:val="32"/>
          <w:lang w:val="en-GB"/>
        </w:rPr>
        <w:t>. Liver stiffness measurement (LSM) has emerged as a non-invasive technique primarily developed for staging liver fibrosis in chronic liver diseases</w:t>
      </w:r>
      <w:r w:rsidR="00236D70">
        <w:rPr>
          <w:rFonts w:ascii="Arial" w:hAnsi="Arial" w:cs="Arial"/>
          <w:color w:val="000000"/>
          <w:szCs w:val="32"/>
          <w:lang w:val="en-GB"/>
        </w:rPr>
        <w:fldChar w:fldCharType="begin"/>
      </w:r>
      <w:r w:rsidR="004F0C0D">
        <w:rPr>
          <w:rFonts w:ascii="Arial" w:hAnsi="Arial" w:cs="Arial"/>
          <w:color w:val="000000"/>
          <w:szCs w:val="32"/>
          <w:lang w:val="en-GB"/>
        </w:rPr>
        <w:instrText xml:space="preserve"> ADDIN ZOTERO_ITEM CSL_CITATION {"citationID":"65kKCSdr","properties":{"formattedCitation":"\\super 17\\nosupersub{}","plainCitation":"17","noteIndex":0},"citationItems":[{"id":6172,"uris":["http://zotero.org/users/9632340/items/J7D5BIE8"],"itemData":{"id":6172,"type":"article-journal","abstract":"The assessment of portal hypertension is a relevant step in the evaluation of newly diagnosed advanced chronic liver disease (ACLD). The current gold standard includes the invasive evaluation of hepatic venous pressure gradient (HVPG) and endoscopy. However, noninvasive or minimally invasive techniques to assess portal hypertension have been proposed and well established. In the present manuscript, we review clinical studies on the use of noninvasive or minimally invasive techniques to assess portal hypertension in ACLD patients.","container-title":"Gastroenterology Research and Practice","DOI":"10.1155/2018/4202091","ISSN":"1687630X","issue":"1","note":"publisher: Hindawi","page":"1–11","title":"Noninvasive assessment of portal hypertension in advanced chronic liver disease: An update","volume":"2018","author":[{"family":"Ravaioli","given":"Federico"},{"family":"Montagnani","given":"Marco"},{"family":"Lisotti","given":"Andrea"},{"family":"Festi","given":"Davide"},{"family":"Mazzella","given":"Giuseppe"},{"family":"Azzaroli","given":"Francesco"}],"issued":{"date-parts":[["2018",6]]}}}],"schema":"https://github.com/citation-style-language/schema/raw/master/csl-citation.json"} </w:instrText>
      </w:r>
      <w:r w:rsidR="00236D70">
        <w:rPr>
          <w:rFonts w:ascii="Arial" w:hAnsi="Arial" w:cs="Arial"/>
          <w:color w:val="000000"/>
          <w:szCs w:val="32"/>
          <w:lang w:val="en-GB"/>
        </w:rPr>
        <w:fldChar w:fldCharType="separate"/>
      </w:r>
      <w:r w:rsidR="004F0C0D" w:rsidRPr="004F0C0D">
        <w:rPr>
          <w:rFonts w:ascii="Arial" w:hAnsi="Arial" w:cs="Arial"/>
          <w:color w:val="000000"/>
          <w:vertAlign w:val="superscript"/>
          <w:lang w:val="en-US"/>
        </w:rPr>
        <w:t>17</w:t>
      </w:r>
      <w:r w:rsidR="00236D70">
        <w:rPr>
          <w:rFonts w:ascii="Arial" w:hAnsi="Arial" w:cs="Arial"/>
          <w:color w:val="000000"/>
          <w:szCs w:val="32"/>
          <w:lang w:val="en-GB"/>
        </w:rPr>
        <w:fldChar w:fldCharType="end"/>
      </w:r>
      <w:r w:rsidR="00236D70">
        <w:rPr>
          <w:rFonts w:ascii="Arial" w:hAnsi="Arial" w:cs="Arial"/>
          <w:color w:val="000000"/>
          <w:szCs w:val="32"/>
          <w:lang w:val="en-GB"/>
        </w:rPr>
        <w:t xml:space="preserve">. </w:t>
      </w:r>
      <w:r w:rsidRPr="00BA3910">
        <w:rPr>
          <w:rFonts w:ascii="Arial" w:hAnsi="Arial" w:cs="Arial"/>
          <w:color w:val="000000"/>
          <w:szCs w:val="32"/>
          <w:lang w:val="en-GB"/>
        </w:rPr>
        <w:t>However, alterations in liver stiffness can occur in conditions beyond fibrosis, such as congestion, portal hypertension, necrosis, or cholestasis</w:t>
      </w:r>
      <w:r w:rsidR="00236D70">
        <w:rPr>
          <w:rFonts w:ascii="Arial" w:hAnsi="Arial" w:cs="Arial"/>
          <w:color w:val="000000"/>
          <w:szCs w:val="32"/>
          <w:lang w:val="en-GB"/>
        </w:rPr>
        <w:fldChar w:fldCharType="begin"/>
      </w:r>
      <w:r w:rsidR="004F0C0D">
        <w:rPr>
          <w:rFonts w:ascii="Arial" w:hAnsi="Arial" w:cs="Arial"/>
          <w:color w:val="000000"/>
          <w:szCs w:val="32"/>
          <w:lang w:val="en-GB"/>
        </w:rPr>
        <w:instrText xml:space="preserve"> ADDIN ZOTERO_ITEM CSL_CITATION {"citationID":"awyrbY4Z","properties":{"formattedCitation":"\\super 18\\nosupersub{}","plainCitation":"18","noteIndex":0},"citationItems":[{"id":4098,"uris":["http://zotero.org/users/9632340/items/X45WC63B"],"itemData":{"id":4098,"type":"document","note":"ISSN: 16000641\nissue: 3\npage: 545–547\ncontainer-title: Journal of Hepatology\nvolume: 70\nDOI: 10.1016/j.jhep.2018.10.012\nPMID: 30685123","publisher":"Elsevier B.V.","title":"Different techniques for ultrasound liver elastography","author":[{"family":"Mulazzani","given":"Lorenzo"},{"family":"Cantisani","given":"Vito"},{"family":"Piscaglia","given":"Fabio"}],"issued":{"date-parts":[["2019",3]]}}}],"schema":"https://github.com/citation-style-language/schema/raw/master/csl-citation.json"} </w:instrText>
      </w:r>
      <w:r w:rsidR="00236D70">
        <w:rPr>
          <w:rFonts w:ascii="Arial" w:hAnsi="Arial" w:cs="Arial"/>
          <w:color w:val="000000"/>
          <w:szCs w:val="32"/>
          <w:lang w:val="en-GB"/>
        </w:rPr>
        <w:fldChar w:fldCharType="separate"/>
      </w:r>
      <w:r w:rsidR="004F0C0D" w:rsidRPr="004F0C0D">
        <w:rPr>
          <w:rFonts w:ascii="Arial" w:hAnsi="Arial" w:cs="Arial"/>
          <w:color w:val="000000"/>
          <w:vertAlign w:val="superscript"/>
          <w:lang w:val="en-US"/>
        </w:rPr>
        <w:t>18</w:t>
      </w:r>
      <w:r w:rsidR="00236D70">
        <w:rPr>
          <w:rFonts w:ascii="Arial" w:hAnsi="Arial" w:cs="Arial"/>
          <w:color w:val="000000"/>
          <w:szCs w:val="32"/>
          <w:lang w:val="en-GB"/>
        </w:rPr>
        <w:fldChar w:fldCharType="end"/>
      </w:r>
      <w:r w:rsidR="002D3B0E">
        <w:rPr>
          <w:rFonts w:ascii="Arial" w:hAnsi="Arial" w:cs="Arial"/>
          <w:color w:val="000000"/>
          <w:szCs w:val="32"/>
          <w:lang w:val="en-GB"/>
        </w:rPr>
        <w:t>.</w:t>
      </w:r>
      <w:r w:rsidRPr="00BA3910">
        <w:rPr>
          <w:rFonts w:ascii="Arial" w:hAnsi="Arial" w:cs="Arial"/>
          <w:color w:val="000000"/>
          <w:szCs w:val="32"/>
          <w:lang w:val="en-GB"/>
        </w:rPr>
        <w:t xml:space="preserve"> Therefore, </w:t>
      </w:r>
      <w:r w:rsidR="00843FE6">
        <w:rPr>
          <w:rFonts w:ascii="Arial" w:hAnsi="Arial" w:cs="Arial"/>
          <w:color w:val="000000"/>
          <w:szCs w:val="32"/>
          <w:lang w:val="en-GB"/>
        </w:rPr>
        <w:t xml:space="preserve">LSM, </w:t>
      </w:r>
      <w:r w:rsidR="002D3B0E">
        <w:rPr>
          <w:rFonts w:ascii="Arial" w:hAnsi="Arial" w:cs="Arial"/>
          <w:color w:val="000000"/>
          <w:szCs w:val="32"/>
          <w:lang w:val="en-GB"/>
        </w:rPr>
        <w:t xml:space="preserve"> being strictly correlated with HVPG, </w:t>
      </w:r>
      <w:r w:rsidR="004F6B1E">
        <w:rPr>
          <w:rFonts w:ascii="Arial" w:hAnsi="Arial" w:cs="Arial"/>
          <w:color w:val="000000"/>
          <w:szCs w:val="32"/>
          <w:lang w:val="en-GB"/>
        </w:rPr>
        <w:t>is the hallmark of PH and has already been</w:t>
      </w:r>
      <w:r w:rsidR="002D3B0E">
        <w:rPr>
          <w:rFonts w:ascii="Arial" w:hAnsi="Arial" w:cs="Arial"/>
          <w:color w:val="000000"/>
          <w:szCs w:val="32"/>
          <w:lang w:val="en-GB"/>
        </w:rPr>
        <w:t xml:space="preserve"> found to be able to measure </w:t>
      </w:r>
      <w:r w:rsidRPr="00BA3910">
        <w:rPr>
          <w:rFonts w:ascii="Arial" w:hAnsi="Arial" w:cs="Arial"/>
          <w:color w:val="000000"/>
          <w:szCs w:val="32"/>
          <w:lang w:val="en-GB"/>
        </w:rPr>
        <w:t>the degree of portal hypertension and its complications</w:t>
      </w:r>
      <w:r w:rsidR="00236D70">
        <w:rPr>
          <w:rFonts w:ascii="Arial" w:hAnsi="Arial" w:cs="Arial"/>
          <w:color w:val="000000"/>
          <w:szCs w:val="32"/>
          <w:lang w:val="en-GB"/>
        </w:rPr>
        <w:fldChar w:fldCharType="begin"/>
      </w:r>
      <w:r w:rsidR="004F0C0D">
        <w:rPr>
          <w:rFonts w:ascii="Arial" w:hAnsi="Arial" w:cs="Arial"/>
          <w:color w:val="000000"/>
          <w:szCs w:val="32"/>
          <w:lang w:val="en-GB"/>
        </w:rPr>
        <w:instrText xml:space="preserve"> ADDIN ZOTERO_ITEM CSL_CITATION {"citationID":"8eQykGO6","properties":{"formattedCitation":"\\super 19\\nosupersub{}","plainCitation":"19","noteIndex":0},"citationItems":[{"id":10233,"uris":["http://zotero.org/users/9632340/items/GGAEDS4U"],"itemData":{"id":10233,"type":"article-journal","container-title":"The Lancet Gastroenterology &amp; Hepatology","DOI":"10.1016/S2468-1253(23)00150-4","ISSN":"24681253","issue":"9","journalAbbreviation":"The Lancet Gastroenterology &amp; Hepatology","language":"en","page":"816-828","source":"DOI.org (Crossref)","title":"Accuracy of spleen stiffness measurement for the diagnosis of clinically significant portal hypertension in patients with compensated advanced chronic liver disease: a systematic review and individual patient data meta-analysis","title-short":"Accuracy of spleen stiffness measurement for the diagnosis of clinically significant portal hypertension in patients with compensated advanced chronic liver disease","volume":"8","author":[{"family":"Dajti","given":"Elton"},{"family":"Ravaioli","given":"Federico"},{"family":"Zykus","given":"Romanas"},{"family":"Rautou","given":"Pierre-Emmanuel"},{"family":"Elkrief","given":"Laure"},{"family":"Grgurevic","given":"Ivica"},{"family":"Stefanescu","given":"Horia"},{"family":"Hirooka","given":"Masashi"},{"family":"Fraquelli","given":"Mirella"},{"family":"Rosselli","given":"Matteo"},{"family":"Chang","given":"Pik Eu Jason"},{"family":"Piscaglia","given":"Fabio"},{"family":"Reiberger","given":"Thomas"},{"family":"Llop","given":"Elba"},{"family":"Mueller","given":"Sebastian"},{"family":"Marasco","given":"Giovanni"},{"family":"Berzigotti","given":"Annalisa"},{"family":"Colli","given":"Agostino"},{"family":"Festi","given":"Davide"},{"family":"Colecchia","given":"Antonio"},{"family":"Alemanni","given":"Luigina Vanessa"},{"family":"Vestito","given":"Amanda"},{"family":"Renzulli","given":"Matteo"},{"family":"Azzaroli","given":"Francesco"},{"family":"Colecchia","given":"Luigi"},{"family":"Castera","given":"Laurent"},{"family":"Ronot","given":"Maxime"},{"family":"Platon-Lupsor","given":"Monica"},{"family":"Nicoara-Farcau","given":"Oana"},{"family":"Ignat","given":"Mina"},{"family":"Hias","given":"Yoichi"},{"family":"Fichera","given":"Anna"},{"family":"Ooi","given":"Chin Chin"},{"family":"Borghi","given":"Alberto"},{"family":"Bauer","given":"David"},{"family":"Semmler","given":"Georg"},{"family":"Mandorfer","given":"Mattias"},{"family":"Calleja","given":"José Luis"},{"family":"Elshaarawy","given":"Omar"},{"family":"Romagnoli","given":"Dante"}],"issued":{"date-parts":[["2023",9]]}}}],"schema":"https://github.com/citation-style-language/schema/raw/master/csl-citation.json"} </w:instrText>
      </w:r>
      <w:r w:rsidR="00236D70">
        <w:rPr>
          <w:rFonts w:ascii="Arial" w:hAnsi="Arial" w:cs="Arial"/>
          <w:color w:val="000000"/>
          <w:szCs w:val="32"/>
          <w:lang w:val="en-GB"/>
        </w:rPr>
        <w:fldChar w:fldCharType="separate"/>
      </w:r>
      <w:r w:rsidR="004F0C0D" w:rsidRPr="004F0C0D">
        <w:rPr>
          <w:rFonts w:ascii="Arial" w:hAnsi="Arial" w:cs="Arial"/>
          <w:color w:val="000000"/>
          <w:vertAlign w:val="superscript"/>
          <w:lang w:val="en-US"/>
        </w:rPr>
        <w:t>19</w:t>
      </w:r>
      <w:r w:rsidR="00236D70">
        <w:rPr>
          <w:rFonts w:ascii="Arial" w:hAnsi="Arial" w:cs="Arial"/>
          <w:color w:val="000000"/>
          <w:szCs w:val="32"/>
          <w:lang w:val="en-GB"/>
        </w:rPr>
        <w:fldChar w:fldCharType="end"/>
      </w:r>
      <w:r w:rsidRPr="00BA3910">
        <w:rPr>
          <w:rFonts w:ascii="Arial" w:hAnsi="Arial" w:cs="Arial"/>
          <w:color w:val="000000"/>
          <w:szCs w:val="32"/>
          <w:lang w:val="en-GB"/>
        </w:rPr>
        <w:t xml:space="preserve">. Notably, in the latest Consensus on Portal Hypertension (Baveno VII), </w:t>
      </w:r>
      <w:r w:rsidR="00236D70">
        <w:rPr>
          <w:rFonts w:ascii="Arial" w:hAnsi="Arial" w:cs="Arial"/>
          <w:color w:val="000000"/>
          <w:szCs w:val="32"/>
          <w:lang w:val="en-GB"/>
        </w:rPr>
        <w:t xml:space="preserve">LSM </w:t>
      </w:r>
      <w:r w:rsidRPr="00BA3910">
        <w:rPr>
          <w:rFonts w:ascii="Arial" w:hAnsi="Arial" w:cs="Arial"/>
          <w:color w:val="000000"/>
          <w:szCs w:val="32"/>
          <w:lang w:val="en-GB"/>
        </w:rPr>
        <w:t>has been suggested to replace HVPG in clinical practice</w:t>
      </w:r>
      <w:r w:rsidR="00236D70">
        <w:rPr>
          <w:rFonts w:ascii="Arial" w:hAnsi="Arial" w:cs="Arial"/>
          <w:color w:val="000000"/>
          <w:szCs w:val="32"/>
          <w:lang w:val="en-GB"/>
        </w:rPr>
        <w:fldChar w:fldCharType="begin"/>
      </w:r>
      <w:r w:rsidR="004F0C0D">
        <w:rPr>
          <w:rFonts w:ascii="Arial" w:hAnsi="Arial" w:cs="Arial"/>
          <w:color w:val="000000"/>
          <w:szCs w:val="32"/>
          <w:lang w:val="en-GB"/>
        </w:rPr>
        <w:instrText xml:space="preserve"> ADDIN ZOTERO_ITEM CSL_CITATION {"citationID":"v2TInz0R","properties":{"formattedCitation":"\\super 20\\nosupersub{}","plainCitation":"20","noteIndex":0},"citationItems":[{"id":9764,"uris":["http://zotero.org/users/9632340/items/Y5YGD8DS"],"itemData":{"id":9764,"type":"article-journal","container-title":"Journal of Hepatology","DOI":"10.1016/j.jhep.2021.12.022","ISSN":"01688278","issue":"4","journalAbbreviation":"Journal of Hepatology","language":"en","note":"4","page":"959-974","source":"DOI.org (Crossref)","title":"Baveno VII – Renewing consensus in portal hypertension","volume":"76","author":[{"family":"Franchis","given":"Roberto","non-dropping-particle":"de"},{"family":"Bosch","given":"Jaime"},{"family":"Garcia-Tsao","given":"Guadalupe"},{"family":"Reiberger","given":"Thomas"},{"family":"Ripoll","given":"Cristina"},{"family":"Abraldes","given":"Juan G."},{"family":"Albillos","given":"Agustin"},{"family":"Baiges","given":"Anna"},{"family":"Bajaj","given":"Jasmohan"},{"family":"Bañares","given":"Rafael"},{"family":"Barrufet","given":"Marta"},{"family":"Benajiba","given":"Lina"},{"family":"Berzigotti","given":"Annalisa"},{"family":"Bureau","given":"Christophe"},{"family":"Calvaruso","given":"Vincenza"},{"family":"Cardenas","given":"Andres"},{"family":"D’Amico","given":"Gennaro"},{"family":"De Gottardi","given":"Andrea"},{"family":"Dell’Era","given":"Alessandra"},{"family":"Escorsell","given":"Angels"},{"family":"Fallowfield","given":"Jonathan"},{"family":"Ferral","given":"Hector"},{"family":"Francque","given":"Sven"},{"family":"Gaba","given":"Ron"},{"family":"Garcia-Pagàn","given":"Juan Carlos"},{"family":"Genescà","given":"Joan"},{"family":"Rodrigues","given":"Susana Gomes"},{"family":"Gracia-Sancho","given":"Jordi"},{"family":"Han","given":"Guogong"},{"family":"Hernandez-Gea","given":"Virginia"},{"family":"Jia","given":"Jidong"},{"family":"Kiladjian","given":"Jean Jacques"},{"family":"Krag","given":"Aleksander"},{"family":"Laleman","given":"Wim"},{"family":"La Mura","given":"Vincenzo"},{"family":"Lens","given":"Sabela"},{"family":"Luo","given":"Xuefeng"},{"family":"Mandorfer","given":"Mattias"},{"family":"Murad","given":"Sarwa Darwish"},{"family":"Paradis","given":"Valerie"},{"family":"Patch","given":"David"},{"family":"Piano","given":"Salvatore"},{"family":"Pinzani","given":"Massimo"},{"family":"Plessier","given":"Aurelie"},{"family":"Primignani","given":"Massimo"},{"family":"Procopet","given":"Bogdan"},{"family":"Rautou","given":"Pierre Emmanuel"},{"family":"Rudler","given":"Marika"},{"family":"Sarin","given":"Shiv K."},{"family":"Schepis","given":"Filippo"},{"family":"Senzolo","given":"Marco"},{"family":"Shah","given":"Vijay"},{"family":"Shukla","given":"Akash"},{"family":"Tandon","given":"Puneeta"},{"family":"Tellez","given":"Luis"},{"family":"Thabut","given":"Dominique"},{"family":"Thiele","given":"Maja"},{"family":"Trebicka","given":"Jonel"},{"family":"Tripathi","given":"Dhiraj"},{"family":"Tsochatzis","given":"Emmanouil"},{"family":"Turco","given":"Laura"},{"family":"Turon","given":"Fanny"},{"family":"Valla","given":"Dominique"},{"family":"Villanueva","given":"Candid"},{"family":"Wanless","given":"Ian"},{"family":"Yoshiji","given":"Hitoshi"}],"issued":{"date-parts":[["2022",4]]}}}],"schema":"https://github.com/citation-style-language/schema/raw/master/csl-citation.json"} </w:instrText>
      </w:r>
      <w:r w:rsidR="00236D70">
        <w:rPr>
          <w:rFonts w:ascii="Arial" w:hAnsi="Arial" w:cs="Arial"/>
          <w:color w:val="000000"/>
          <w:szCs w:val="32"/>
          <w:lang w:val="en-GB"/>
        </w:rPr>
        <w:fldChar w:fldCharType="separate"/>
      </w:r>
      <w:r w:rsidR="004F0C0D" w:rsidRPr="004F0C0D">
        <w:rPr>
          <w:rFonts w:ascii="Arial" w:hAnsi="Arial" w:cs="Arial"/>
          <w:color w:val="000000"/>
          <w:vertAlign w:val="superscript"/>
          <w:lang w:val="en-US"/>
        </w:rPr>
        <w:t>20</w:t>
      </w:r>
      <w:r w:rsidR="00236D70">
        <w:rPr>
          <w:rFonts w:ascii="Arial" w:hAnsi="Arial" w:cs="Arial"/>
          <w:color w:val="000000"/>
          <w:szCs w:val="32"/>
          <w:lang w:val="en-GB"/>
        </w:rPr>
        <w:fldChar w:fldCharType="end"/>
      </w:r>
      <w:r w:rsidRPr="00BA3910">
        <w:rPr>
          <w:rFonts w:ascii="Arial" w:hAnsi="Arial" w:cs="Arial"/>
          <w:color w:val="000000"/>
          <w:szCs w:val="32"/>
          <w:lang w:val="en-GB"/>
        </w:rPr>
        <w:t xml:space="preserve">. </w:t>
      </w:r>
      <w:r w:rsidR="002D3B0E" w:rsidRPr="002D3B0E">
        <w:rPr>
          <w:rFonts w:ascii="Arial" w:hAnsi="Arial" w:cs="Arial"/>
          <w:noProof/>
          <w:color w:val="000000"/>
          <w:szCs w:val="32"/>
        </w:rPr>
        <mc:AlternateContent>
          <mc:Choice Requires="wps">
            <w:drawing>
              <wp:anchor distT="0" distB="0" distL="114300" distR="114300" simplePos="0" relativeHeight="251660288" behindDoc="0" locked="0" layoutInCell="1" allowOverlap="1" wp14:anchorId="4DF7AAC5" wp14:editId="395F0949">
                <wp:simplePos x="0" y="0"/>
                <wp:positionH relativeFrom="column">
                  <wp:posOffset>0</wp:posOffset>
                </wp:positionH>
                <wp:positionV relativeFrom="paragraph">
                  <wp:posOffset>936625</wp:posOffset>
                </wp:positionV>
                <wp:extent cx="3747994" cy="523220"/>
                <wp:effectExtent l="0" t="0" r="0" b="0"/>
                <wp:wrapNone/>
                <wp:docPr id="73" name="CasellaDiTesto 28">
                  <a:extLst xmlns:a="http://schemas.openxmlformats.org/drawingml/2006/main">
                    <a:ext uri="{FF2B5EF4-FFF2-40B4-BE49-F238E27FC236}">
                      <a16:creationId xmlns:a16="http://schemas.microsoft.com/office/drawing/2014/main" id="{FB0FF4FA-675F-829D-E9B6-BB82E5D9B5E5}"/>
                    </a:ext>
                  </a:extLst>
                </wp:docPr>
                <wp:cNvGraphicFramePr/>
                <a:graphic xmlns:a="http://schemas.openxmlformats.org/drawingml/2006/main">
                  <a:graphicData uri="http://schemas.microsoft.com/office/word/2010/wordprocessingShape">
                    <wps:wsp>
                      <wps:cNvSpPr txBox="1"/>
                      <wps:spPr>
                        <a:xfrm>
                          <a:off x="0" y="0"/>
                          <a:ext cx="3747994" cy="523220"/>
                        </a:xfrm>
                        <a:prstGeom prst="rect">
                          <a:avLst/>
                        </a:prstGeom>
                        <a:noFill/>
                      </wps:spPr>
                      <wps:txbx>
                        <w:txbxContent>
                          <w:p w14:paraId="32EB75BE" w14:textId="77777777" w:rsidR="002D3B0E" w:rsidRDefault="002D3B0E" w:rsidP="002D3B0E">
                            <w:pPr>
                              <w:jc w:val="center"/>
                              <w:textAlignment w:val="baseline"/>
                              <w:rPr>
                                <w:rFonts w:ascii="Arial" w:eastAsia="Calibri" w:hAnsi="Arial" w:cstheme="minorBidi"/>
                                <w:color w:val="FFFFFF"/>
                                <w:kern w:val="24"/>
                                <w:sz w:val="28"/>
                                <w:szCs w:val="28"/>
                                <w:lang w:val="en-IE"/>
                              </w:rPr>
                            </w:pPr>
                            <w:r>
                              <w:rPr>
                                <w:rFonts w:ascii="Arial" w:eastAsia="Calibri" w:hAnsi="Arial" w:cstheme="minorBidi"/>
                                <w:color w:val="FFFFFF"/>
                                <w:kern w:val="24"/>
                                <w:sz w:val="28"/>
                                <w:szCs w:val="28"/>
                                <w:lang w:val="en-IE"/>
                              </w:rPr>
                              <w:t xml:space="preserve">LSM </w:t>
                            </w:r>
                            <w:r>
                              <w:rPr>
                                <w:rFonts w:ascii="Arial" w:eastAsia="Calibri" w:hAnsi="Arial" w:cstheme="minorBidi"/>
                                <w:b/>
                                <w:bCs/>
                                <w:color w:val="FFFFFF"/>
                                <w:kern w:val="24"/>
                                <w:sz w:val="28"/>
                                <w:szCs w:val="28"/>
                                <w:lang w:val="en-IE"/>
                              </w:rPr>
                              <w:t>indirectly</w:t>
                            </w:r>
                            <w:r>
                              <w:rPr>
                                <w:rFonts w:ascii="Arial" w:eastAsia="Calibri" w:hAnsi="Arial" w:cstheme="minorBidi"/>
                                <w:color w:val="FFFFFF"/>
                                <w:kern w:val="24"/>
                                <w:sz w:val="28"/>
                                <w:szCs w:val="28"/>
                                <w:lang w:val="en-IE"/>
                              </w:rPr>
                              <w:t xml:space="preserve"> </w:t>
                            </w:r>
                            <w:r w:rsidRPr="004F6B1E">
                              <w:rPr>
                                <w:rFonts w:ascii="Arial" w:eastAsia="Calibri" w:hAnsi="Arial" w:cstheme="minorBidi"/>
                                <w:color w:val="FFFFFF"/>
                                <w:kern w:val="24"/>
                                <w:sz w:val="28"/>
                                <w:szCs w:val="28"/>
                                <w:lang w:val="en-US"/>
                              </w:rPr>
                              <w:t xml:space="preserve">measures </w:t>
                            </w:r>
                            <w:r>
                              <w:rPr>
                                <w:rFonts w:ascii="Arial" w:eastAsia="Calibri" w:hAnsi="Arial" w:cstheme="minorBidi"/>
                                <w:color w:val="FFFFFF"/>
                                <w:kern w:val="24"/>
                                <w:sz w:val="28"/>
                                <w:szCs w:val="28"/>
                                <w:lang w:val="en-IE"/>
                              </w:rPr>
                              <w:t>PH, because HVPG is the hallmark of PH</w:t>
                            </w:r>
                          </w:p>
                        </w:txbxContent>
                      </wps:txbx>
                      <wps:bodyPr wrap="square">
                        <a:spAutoFit/>
                      </wps:bodyPr>
                    </wps:wsp>
                  </a:graphicData>
                </a:graphic>
              </wp:anchor>
            </w:drawing>
          </mc:Choice>
          <mc:Fallback>
            <w:pict>
              <v:shapetype w14:anchorId="4DF7AAC5" id="_x0000_t202" coordsize="21600,21600" o:spt="202" path="m,l,21600r21600,l21600,xe">
                <v:stroke joinstyle="miter"/>
                <v:path gradientshapeok="t" o:connecttype="rect"/>
              </v:shapetype>
              <v:shape id="CasellaDiTesto 28" o:spid="_x0000_s1026" type="#_x0000_t202" style="position:absolute;left:0;text-align:left;margin-left:0;margin-top:73.75pt;width:295.1pt;height:41.2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" filled="f" stroked="f">
                <v:textbox style="mso-fit-shape-to-text:t">
                  <w:txbxContent>
                    <w:p w14:paraId="32EB75BE" w14:textId="77777777" w:rsidR="002D3B0E" w:rsidRDefault="002D3B0E" w:rsidP="002D3B0E">
                      <w:pPr>
                        <w:jc w:val="center"/>
                        <w:textAlignment w:val="baseline"/>
                        <w:rPr>
                          <w:rFonts w:ascii="Arial" w:eastAsia="Calibri" w:hAnsi="Arial" w:cstheme="minorBidi"/>
                          <w:color w:val="FFFFFF"/>
                          <w:kern w:val="24"/>
                          <w:sz w:val="28"/>
                          <w:szCs w:val="28"/>
                          <w:lang w:val="en-IE"/>
                        </w:rPr>
                      </w:pPr>
                      <w:r>
                        <w:rPr>
                          <w:rFonts w:ascii="Arial" w:eastAsia="Calibri" w:hAnsi="Arial" w:cstheme="minorBidi"/>
                          <w:color w:val="FFFFFF"/>
                          <w:kern w:val="24"/>
                          <w:sz w:val="28"/>
                          <w:szCs w:val="28"/>
                          <w:lang w:val="en-IE"/>
                        </w:rPr>
                        <w:t xml:space="preserve">LSM </w:t>
                      </w:r>
                      <w:r>
                        <w:rPr>
                          <w:rFonts w:ascii="Arial" w:eastAsia="Calibri" w:hAnsi="Arial" w:cstheme="minorBidi"/>
                          <w:b/>
                          <w:bCs/>
                          <w:color w:val="FFFFFF"/>
                          <w:kern w:val="24"/>
                          <w:sz w:val="28"/>
                          <w:szCs w:val="28"/>
                          <w:lang w:val="en-IE"/>
                        </w:rPr>
                        <w:t>indirectly</w:t>
                      </w:r>
                      <w:r>
                        <w:rPr>
                          <w:rFonts w:ascii="Arial" w:eastAsia="Calibri" w:hAnsi="Arial" w:cstheme="minorBidi"/>
                          <w:color w:val="FFFFFF"/>
                          <w:kern w:val="24"/>
                          <w:sz w:val="28"/>
                          <w:szCs w:val="28"/>
                          <w:lang w:val="en-IE"/>
                        </w:rPr>
                        <w:t xml:space="preserve"> </w:t>
                      </w:r>
                      <w:r w:rsidRPr="004F6B1E">
                        <w:rPr>
                          <w:rFonts w:ascii="Arial" w:eastAsia="Calibri" w:hAnsi="Arial" w:cstheme="minorBidi"/>
                          <w:color w:val="FFFFFF"/>
                          <w:kern w:val="24"/>
                          <w:sz w:val="28"/>
                          <w:szCs w:val="28"/>
                          <w:lang w:val="en-US"/>
                        </w:rPr>
                        <w:t xml:space="preserve">measures </w:t>
                      </w:r>
                      <w:r>
                        <w:rPr>
                          <w:rFonts w:ascii="Arial" w:eastAsia="Calibri" w:hAnsi="Arial" w:cstheme="minorBidi"/>
                          <w:color w:val="FFFFFF"/>
                          <w:kern w:val="24"/>
                          <w:sz w:val="28"/>
                          <w:szCs w:val="28"/>
                          <w:lang w:val="en-IE"/>
                        </w:rPr>
                        <w:t>PH, because HVPG is the hallmark of PH</w:t>
                      </w:r>
                    </w:p>
                  </w:txbxContent>
                </v:textbox>
              </v:shape>
            </w:pict>
          </mc:Fallback>
        </mc:AlternateContent>
      </w:r>
      <w:r w:rsidR="004F6B1E">
        <w:rPr>
          <w:rFonts w:ascii="Arial" w:hAnsi="Arial" w:cs="Arial"/>
          <w:color w:val="000000"/>
          <w:szCs w:val="32"/>
          <w:lang w:val="en-GB"/>
        </w:rPr>
        <w:t xml:space="preserve"> </w:t>
      </w:r>
      <w:r w:rsidR="00685AAA">
        <w:rPr>
          <w:rFonts w:ascii="Arial" w:hAnsi="Arial" w:cs="Arial"/>
          <w:color w:val="000000"/>
          <w:szCs w:val="32"/>
          <w:lang w:val="en-GB"/>
        </w:rPr>
        <w:t>Since VOD</w:t>
      </w:r>
      <w:r w:rsidR="00843FE6">
        <w:rPr>
          <w:rFonts w:ascii="Arial" w:hAnsi="Arial" w:cs="Arial"/>
          <w:color w:val="000000"/>
          <w:szCs w:val="32"/>
          <w:lang w:val="en-GB"/>
        </w:rPr>
        <w:t>,</w:t>
      </w:r>
      <w:r w:rsidR="00685AAA">
        <w:rPr>
          <w:rFonts w:ascii="Arial" w:hAnsi="Arial" w:cs="Arial"/>
          <w:color w:val="000000"/>
          <w:szCs w:val="32"/>
          <w:lang w:val="en-GB"/>
        </w:rPr>
        <w:t xml:space="preserve"> from a pat</w:t>
      </w:r>
      <w:r w:rsidR="004F6B1E">
        <w:rPr>
          <w:rFonts w:ascii="Arial" w:hAnsi="Arial" w:cs="Arial"/>
          <w:color w:val="000000"/>
          <w:szCs w:val="32"/>
          <w:lang w:val="en-GB"/>
        </w:rPr>
        <w:t>hophysiologi</w:t>
      </w:r>
      <w:r w:rsidR="00685AAA">
        <w:rPr>
          <w:rFonts w:ascii="Arial" w:hAnsi="Arial" w:cs="Arial"/>
          <w:color w:val="000000"/>
          <w:szCs w:val="32"/>
          <w:lang w:val="en-GB"/>
        </w:rPr>
        <w:t>cal point of view</w:t>
      </w:r>
      <w:r w:rsidR="00843FE6">
        <w:rPr>
          <w:rFonts w:ascii="Arial" w:hAnsi="Arial" w:cs="Arial"/>
          <w:color w:val="000000"/>
          <w:szCs w:val="32"/>
          <w:lang w:val="en-GB"/>
        </w:rPr>
        <w:t>,</w:t>
      </w:r>
      <w:r w:rsidR="00685AAA">
        <w:rPr>
          <w:rFonts w:ascii="Arial" w:hAnsi="Arial" w:cs="Arial"/>
          <w:color w:val="000000"/>
          <w:szCs w:val="32"/>
          <w:lang w:val="en-GB"/>
        </w:rPr>
        <w:t xml:space="preserve"> is a cause of PH, we aimed to </w:t>
      </w:r>
      <w:r w:rsidR="002E017E">
        <w:rPr>
          <w:rFonts w:ascii="Arial" w:hAnsi="Arial" w:cs="Arial"/>
          <w:color w:val="000000"/>
          <w:szCs w:val="32"/>
          <w:lang w:val="en-GB"/>
        </w:rPr>
        <w:t xml:space="preserve">prospectively </w:t>
      </w:r>
      <w:r w:rsidRPr="00BA3910">
        <w:rPr>
          <w:rFonts w:ascii="Arial" w:hAnsi="Arial" w:cs="Arial"/>
          <w:color w:val="000000"/>
          <w:szCs w:val="32"/>
          <w:lang w:val="en-GB"/>
        </w:rPr>
        <w:t>investigat</w:t>
      </w:r>
      <w:r w:rsidR="00AA6693">
        <w:rPr>
          <w:rFonts w:ascii="Arial" w:hAnsi="Arial" w:cs="Arial"/>
          <w:color w:val="000000"/>
          <w:szCs w:val="32"/>
          <w:lang w:val="en-GB"/>
        </w:rPr>
        <w:t>e</w:t>
      </w:r>
      <w:r w:rsidRPr="00BA3910">
        <w:rPr>
          <w:rFonts w:ascii="Arial" w:hAnsi="Arial" w:cs="Arial"/>
          <w:color w:val="000000"/>
          <w:szCs w:val="32"/>
          <w:lang w:val="en-GB"/>
        </w:rPr>
        <w:t xml:space="preserve"> the diagnostic role of Liver Stiffness Measurement (LSM), assessed by different elastographic methods for SOS/VOS in a </w:t>
      </w:r>
      <w:r w:rsidR="00BF67FA">
        <w:rPr>
          <w:rFonts w:ascii="Arial" w:hAnsi="Arial" w:cs="Arial"/>
          <w:color w:val="000000"/>
          <w:szCs w:val="32"/>
          <w:lang w:val="en-GB"/>
        </w:rPr>
        <w:t>l</w:t>
      </w:r>
      <w:r w:rsidRPr="00BA3910">
        <w:rPr>
          <w:rFonts w:ascii="Arial" w:hAnsi="Arial" w:cs="Arial"/>
          <w:color w:val="000000"/>
          <w:szCs w:val="32"/>
          <w:lang w:val="en-GB"/>
        </w:rPr>
        <w:t>arge population undergoing HSCT.</w:t>
      </w:r>
    </w:p>
    <w:p w14:paraId="3708F691" w14:textId="77777777" w:rsidR="00A82A28" w:rsidRPr="00BA3910" w:rsidRDefault="00A82A28" w:rsidP="00A82A28">
      <w:pPr>
        <w:spacing w:line="360" w:lineRule="auto"/>
        <w:jc w:val="both"/>
        <w:rPr>
          <w:rFonts w:ascii="Arial" w:hAnsi="Arial" w:cs="Arial"/>
          <w:color w:val="1C1C1C"/>
          <w:sz w:val="21"/>
          <w:szCs w:val="21"/>
          <w:shd w:val="clear" w:color="auto" w:fill="FFFFFF"/>
          <w:lang w:val="en-GB"/>
        </w:rPr>
      </w:pPr>
    </w:p>
    <w:p w14:paraId="79FAD289" w14:textId="474DA133" w:rsidR="00775704" w:rsidRPr="00BA3910" w:rsidRDefault="00775704" w:rsidP="00407767">
      <w:pPr>
        <w:spacing w:line="360" w:lineRule="auto"/>
        <w:jc w:val="both"/>
        <w:rPr>
          <w:rFonts w:ascii="Arial" w:hAnsi="Arial" w:cs="Arial"/>
          <w:b/>
          <w:bCs/>
          <w:sz w:val="28"/>
          <w:szCs w:val="28"/>
          <w:lang w:val="en-GB"/>
        </w:rPr>
      </w:pPr>
      <w:r w:rsidRPr="00BA3910">
        <w:rPr>
          <w:rFonts w:ascii="Arial" w:hAnsi="Arial" w:cs="Arial"/>
          <w:b/>
          <w:bCs/>
          <w:sz w:val="28"/>
          <w:szCs w:val="28"/>
          <w:lang w:val="en-GB"/>
        </w:rPr>
        <w:t>Material and methods</w:t>
      </w:r>
    </w:p>
    <w:p w14:paraId="266BC922" w14:textId="093BFA4F" w:rsidR="00A37FE8" w:rsidRPr="00BA3910" w:rsidRDefault="00A37FE8" w:rsidP="00A37FE8">
      <w:pPr>
        <w:spacing w:line="360" w:lineRule="auto"/>
        <w:jc w:val="both"/>
        <w:rPr>
          <w:rFonts w:ascii="Arial" w:hAnsi="Arial" w:cs="Arial"/>
          <w:u w:val="single"/>
          <w:lang w:val="en-GB"/>
        </w:rPr>
      </w:pPr>
      <w:r w:rsidRPr="00BA3910">
        <w:rPr>
          <w:rFonts w:ascii="Arial" w:hAnsi="Arial" w:cs="Arial"/>
          <w:u w:val="single"/>
          <w:lang w:val="en-GB"/>
        </w:rPr>
        <w:t>Patients</w:t>
      </w:r>
      <w:r w:rsidR="006F5BDC">
        <w:rPr>
          <w:rFonts w:ascii="Arial" w:hAnsi="Arial" w:cs="Arial"/>
          <w:u w:val="single"/>
          <w:lang w:val="en-GB"/>
        </w:rPr>
        <w:t xml:space="preserve"> </w:t>
      </w:r>
      <w:r w:rsidRPr="00BA3910">
        <w:rPr>
          <w:rFonts w:ascii="Arial" w:hAnsi="Arial" w:cs="Arial"/>
          <w:u w:val="single"/>
          <w:lang w:val="en-GB"/>
        </w:rPr>
        <w:t>and study design:</w:t>
      </w:r>
    </w:p>
    <w:p w14:paraId="100FDE78" w14:textId="632CF60C" w:rsidR="006B7BA9" w:rsidRPr="00BA3910" w:rsidRDefault="006B7BA9" w:rsidP="00A37FE8">
      <w:pPr>
        <w:spacing w:line="360" w:lineRule="auto"/>
        <w:jc w:val="both"/>
        <w:outlineLvl w:val="0"/>
        <w:rPr>
          <w:rFonts w:ascii="Arial" w:hAnsi="Arial" w:cs="Arial"/>
          <w:lang w:val="en-GB"/>
        </w:rPr>
      </w:pPr>
      <w:r w:rsidRPr="00BA3910">
        <w:rPr>
          <w:rFonts w:ascii="Arial" w:hAnsi="Arial" w:cs="Arial"/>
          <w:lang w:val="en-GB"/>
        </w:rPr>
        <w:t>The ELASTO</w:t>
      </w:r>
      <w:r w:rsidR="000D1ED3" w:rsidRPr="00BA3910">
        <w:rPr>
          <w:rFonts w:ascii="Arial" w:hAnsi="Arial" w:cs="Arial"/>
          <w:lang w:val="en-GB"/>
        </w:rPr>
        <w:t>VOD/SOS</w:t>
      </w:r>
      <w:r w:rsidRPr="00BA3910">
        <w:rPr>
          <w:rFonts w:ascii="Arial" w:hAnsi="Arial" w:cs="Arial"/>
          <w:lang w:val="en-GB"/>
        </w:rPr>
        <w:t xml:space="preserve"> study was a </w:t>
      </w:r>
      <w:r w:rsidR="006A26B9" w:rsidRPr="00BA3910">
        <w:rPr>
          <w:rFonts w:ascii="Arial" w:hAnsi="Arial" w:cs="Arial"/>
          <w:lang w:val="en-GB"/>
        </w:rPr>
        <w:t>pragmatic</w:t>
      </w:r>
      <w:r w:rsidRPr="00BA3910">
        <w:rPr>
          <w:rFonts w:ascii="Arial" w:hAnsi="Arial" w:cs="Arial"/>
          <w:lang w:val="en-GB"/>
        </w:rPr>
        <w:t xml:space="preserve">, investigator-initiated, </w:t>
      </w:r>
      <w:r w:rsidR="006A26B9" w:rsidRPr="00BA3910">
        <w:rPr>
          <w:rFonts w:ascii="Arial" w:hAnsi="Arial" w:cs="Arial"/>
          <w:lang w:val="en-GB"/>
        </w:rPr>
        <w:t xml:space="preserve">prospective diagnostic clinical trial </w:t>
      </w:r>
      <w:r w:rsidR="00685AAA">
        <w:rPr>
          <w:rFonts w:ascii="Arial" w:hAnsi="Arial" w:cs="Arial"/>
          <w:lang w:val="en-GB"/>
        </w:rPr>
        <w:t>run in</w:t>
      </w:r>
      <w:r w:rsidRPr="00BA3910">
        <w:rPr>
          <w:rFonts w:ascii="Arial" w:hAnsi="Arial" w:cs="Arial"/>
          <w:lang w:val="en-GB"/>
        </w:rPr>
        <w:t xml:space="preserve"> </w:t>
      </w:r>
      <w:r w:rsidR="006A26B9" w:rsidRPr="00BA3910">
        <w:rPr>
          <w:rFonts w:ascii="Arial" w:hAnsi="Arial" w:cs="Arial"/>
          <w:lang w:val="en-GB"/>
        </w:rPr>
        <w:t>25</w:t>
      </w:r>
      <w:r w:rsidR="00685AAA">
        <w:rPr>
          <w:rFonts w:ascii="Arial" w:hAnsi="Arial" w:cs="Arial"/>
          <w:lang w:val="en-GB"/>
        </w:rPr>
        <w:t xml:space="preserve"> hematopoietic </w:t>
      </w:r>
      <w:r w:rsidR="006A26B9" w:rsidRPr="00BA3910">
        <w:rPr>
          <w:rFonts w:ascii="Arial" w:hAnsi="Arial" w:cs="Arial"/>
          <w:lang w:val="en-GB"/>
        </w:rPr>
        <w:t>stem cell transplant</w:t>
      </w:r>
      <w:r w:rsidR="00685AAA">
        <w:rPr>
          <w:rFonts w:ascii="Arial" w:hAnsi="Arial" w:cs="Arial"/>
          <w:lang w:val="en-GB"/>
        </w:rPr>
        <w:t>ation program</w:t>
      </w:r>
      <w:r w:rsidR="00AA6693">
        <w:rPr>
          <w:rFonts w:ascii="Arial" w:hAnsi="Arial" w:cs="Arial"/>
          <w:lang w:val="en-GB"/>
        </w:rPr>
        <w:t>s</w:t>
      </w:r>
      <w:r w:rsidR="00685AAA" w:rsidRPr="00BA3910">
        <w:rPr>
          <w:rFonts w:ascii="Arial" w:hAnsi="Arial" w:cs="Arial"/>
          <w:lang w:val="en-GB"/>
        </w:rPr>
        <w:t xml:space="preserve"> </w:t>
      </w:r>
      <w:r w:rsidRPr="00BA3910">
        <w:rPr>
          <w:rFonts w:ascii="Arial" w:hAnsi="Arial" w:cs="Arial"/>
          <w:lang w:val="en-GB"/>
        </w:rPr>
        <w:t xml:space="preserve">in </w:t>
      </w:r>
      <w:r w:rsidR="006A26B9" w:rsidRPr="00BA3910">
        <w:rPr>
          <w:rFonts w:ascii="Arial" w:hAnsi="Arial" w:cs="Arial"/>
          <w:lang w:val="en-GB"/>
        </w:rPr>
        <w:t>Italy</w:t>
      </w:r>
      <w:r w:rsidR="007D5361" w:rsidRPr="00BA3910">
        <w:rPr>
          <w:rFonts w:ascii="Arial" w:hAnsi="Arial" w:cs="Arial"/>
          <w:lang w:val="en-GB"/>
        </w:rPr>
        <w:t xml:space="preserve">. </w:t>
      </w:r>
      <w:r w:rsidRPr="00BA3910">
        <w:rPr>
          <w:rFonts w:ascii="Arial" w:hAnsi="Arial" w:cs="Arial"/>
          <w:lang w:val="en-GB"/>
        </w:rPr>
        <w:t xml:space="preserve">The trial design was approved by </w:t>
      </w:r>
      <w:r w:rsidR="006A26B9" w:rsidRPr="00BA3910">
        <w:rPr>
          <w:rFonts w:ascii="Arial" w:hAnsi="Arial" w:cs="Arial"/>
          <w:lang w:val="en-GB"/>
        </w:rPr>
        <w:t>the</w:t>
      </w:r>
      <w:r w:rsidRPr="00BA3910">
        <w:rPr>
          <w:rFonts w:ascii="Arial" w:hAnsi="Arial" w:cs="Arial"/>
          <w:lang w:val="en-GB"/>
        </w:rPr>
        <w:t xml:space="preserve"> </w:t>
      </w:r>
      <w:r w:rsidR="006A26B9" w:rsidRPr="00BA3910">
        <w:rPr>
          <w:rFonts w:ascii="Arial" w:hAnsi="Arial" w:cs="Arial"/>
          <w:lang w:val="en-GB"/>
        </w:rPr>
        <w:t>Central Emilia Wide Area Ethical Committee of the Emilia-Romagna Region (CE-AVEC)</w:t>
      </w:r>
      <w:r w:rsidR="008461C2" w:rsidRPr="00BA3910">
        <w:rPr>
          <w:rFonts w:ascii="Arial" w:hAnsi="Arial" w:cs="Arial"/>
          <w:lang w:val="en-GB"/>
        </w:rPr>
        <w:t xml:space="preserve"> with protocol number </w:t>
      </w:r>
      <w:r w:rsidR="008461C2" w:rsidRPr="00BA3910">
        <w:rPr>
          <w:rFonts w:ascii="Arial" w:hAnsi="Arial" w:cs="Arial"/>
          <w:b/>
          <w:bCs/>
          <w:lang w:val="en-GB"/>
        </w:rPr>
        <w:t>95/2017/U/Sper</w:t>
      </w:r>
      <w:r w:rsidR="008461C2" w:rsidRPr="00BA3910">
        <w:rPr>
          <w:rFonts w:ascii="Arial" w:hAnsi="Arial" w:cs="Arial"/>
          <w:lang w:val="en-GB"/>
        </w:rPr>
        <w:t xml:space="preserve"> and by all local ethics committees</w:t>
      </w:r>
      <w:r w:rsidR="006A26B9" w:rsidRPr="00BA3910">
        <w:rPr>
          <w:rFonts w:ascii="Arial" w:hAnsi="Arial" w:cs="Arial"/>
          <w:lang w:val="en-GB"/>
        </w:rPr>
        <w:t xml:space="preserve"> of the participating </w:t>
      </w:r>
      <w:r w:rsidRPr="00BA3910">
        <w:rPr>
          <w:rFonts w:ascii="Arial" w:hAnsi="Arial" w:cs="Arial"/>
          <w:lang w:val="en-GB"/>
        </w:rPr>
        <w:t xml:space="preserve">centres. </w:t>
      </w:r>
      <w:r w:rsidR="00714C04" w:rsidRPr="00BA3910">
        <w:rPr>
          <w:rFonts w:ascii="Arial" w:hAnsi="Arial" w:cs="Arial"/>
          <w:lang w:val="en-GB"/>
        </w:rPr>
        <w:t xml:space="preserve">All patients provided written informed consent. </w:t>
      </w:r>
      <w:r w:rsidRPr="00BA3910">
        <w:rPr>
          <w:rFonts w:ascii="Arial" w:hAnsi="Arial" w:cs="Arial"/>
          <w:lang w:val="en-GB"/>
        </w:rPr>
        <w:t>The study was done in accordance with the Declaration of Helsinki and Good Clinical Practice principles</w:t>
      </w:r>
      <w:r w:rsidR="008461C2" w:rsidRPr="00BA3910">
        <w:rPr>
          <w:rFonts w:ascii="Arial" w:hAnsi="Arial" w:cs="Arial"/>
          <w:lang w:val="en-GB"/>
        </w:rPr>
        <w:t xml:space="preserve">. </w:t>
      </w:r>
      <w:r w:rsidRPr="00BA3910">
        <w:rPr>
          <w:rFonts w:ascii="Arial" w:hAnsi="Arial" w:cs="Arial"/>
          <w:lang w:val="en-GB"/>
        </w:rPr>
        <w:t>The study is registered with ClinicalTrials.gov (</w:t>
      </w:r>
      <w:r w:rsidR="008461C2" w:rsidRPr="00BA3910">
        <w:rPr>
          <w:rFonts w:ascii="Arial" w:hAnsi="Arial" w:cs="Arial"/>
          <w:lang w:val="en-GB"/>
        </w:rPr>
        <w:t>NCT03426358</w:t>
      </w:r>
      <w:r w:rsidRPr="00BA3910">
        <w:rPr>
          <w:rFonts w:ascii="Arial" w:hAnsi="Arial" w:cs="Arial"/>
          <w:lang w:val="en-GB"/>
        </w:rPr>
        <w:t xml:space="preserve">). </w:t>
      </w:r>
    </w:p>
    <w:p w14:paraId="5D68CAA2" w14:textId="41D2FB1D" w:rsidR="00AA6693" w:rsidRDefault="00714C04" w:rsidP="00C17160">
      <w:pPr>
        <w:spacing w:line="360" w:lineRule="auto"/>
        <w:jc w:val="both"/>
        <w:outlineLvl w:val="0"/>
        <w:rPr>
          <w:rFonts w:ascii="Arial" w:hAnsi="Arial" w:cs="Arial"/>
          <w:lang w:val="en-GB"/>
        </w:rPr>
      </w:pPr>
      <w:r w:rsidRPr="00BA3910">
        <w:rPr>
          <w:rFonts w:ascii="Arial" w:hAnsi="Arial" w:cs="Arial"/>
          <w:lang w:val="en-GB"/>
        </w:rPr>
        <w:t>Inclusion criteria were</w:t>
      </w:r>
      <w:r w:rsidR="004F6B1E">
        <w:rPr>
          <w:rFonts w:ascii="Arial" w:hAnsi="Arial" w:cs="Arial"/>
          <w:lang w:val="en-GB"/>
        </w:rPr>
        <w:t xml:space="preserve"> any haematological diseases requiring either allogeneic or autologous hematopoietic stem cell transplantation (HSCT), age between 3 and</w:t>
      </w:r>
      <w:r w:rsidR="00330927" w:rsidRPr="00BA3910">
        <w:rPr>
          <w:rFonts w:ascii="Arial" w:hAnsi="Arial" w:cs="Arial"/>
          <w:lang w:val="en-GB"/>
        </w:rPr>
        <w:t xml:space="preserve"> 70. Patients were excluded </w:t>
      </w:r>
      <w:r w:rsidR="00AA6693">
        <w:rPr>
          <w:rFonts w:ascii="Arial" w:hAnsi="Arial" w:cs="Arial"/>
          <w:lang w:val="en-GB"/>
        </w:rPr>
        <w:t>in case of</w:t>
      </w:r>
      <w:r w:rsidR="00330927" w:rsidRPr="00BA3910">
        <w:rPr>
          <w:rFonts w:ascii="Arial" w:hAnsi="Arial" w:cs="Arial"/>
          <w:lang w:val="en-GB"/>
        </w:rPr>
        <w:t xml:space="preserve"> III° grade</w:t>
      </w:r>
      <w:r w:rsidR="00AA6693">
        <w:rPr>
          <w:rFonts w:ascii="Arial" w:hAnsi="Arial" w:cs="Arial"/>
          <w:lang w:val="en-GB"/>
        </w:rPr>
        <w:t xml:space="preserve"> </w:t>
      </w:r>
      <w:r w:rsidR="00AA6693" w:rsidRPr="00BA3910">
        <w:rPr>
          <w:rFonts w:ascii="Arial" w:hAnsi="Arial" w:cs="Arial"/>
          <w:lang w:val="en-GB"/>
        </w:rPr>
        <w:t>obesity</w:t>
      </w:r>
      <w:r w:rsidR="00330927" w:rsidRPr="00BA3910">
        <w:rPr>
          <w:rFonts w:ascii="Arial" w:hAnsi="Arial" w:cs="Arial"/>
          <w:lang w:val="en-GB"/>
        </w:rPr>
        <w:t xml:space="preserve"> (BMI over 40 kg/m</w:t>
      </w:r>
      <w:r w:rsidR="00330927" w:rsidRPr="00BA3910">
        <w:rPr>
          <w:rFonts w:ascii="Arial" w:hAnsi="Arial" w:cs="Arial"/>
          <w:vertAlign w:val="superscript"/>
          <w:lang w:val="en-GB"/>
        </w:rPr>
        <w:t>2</w:t>
      </w:r>
      <w:r w:rsidR="00330927" w:rsidRPr="00BA3910">
        <w:rPr>
          <w:rFonts w:ascii="Arial" w:hAnsi="Arial" w:cs="Arial"/>
          <w:lang w:val="en-GB"/>
        </w:rPr>
        <w:t xml:space="preserve">), </w:t>
      </w:r>
      <w:r w:rsidR="00AA6693">
        <w:rPr>
          <w:rFonts w:ascii="Arial" w:hAnsi="Arial" w:cs="Arial"/>
          <w:lang w:val="en-GB"/>
        </w:rPr>
        <w:t>presence of either</w:t>
      </w:r>
      <w:r w:rsidR="00AA6693" w:rsidRPr="00BA3910">
        <w:rPr>
          <w:rFonts w:ascii="Arial" w:hAnsi="Arial" w:cs="Arial"/>
          <w:lang w:val="en-GB"/>
        </w:rPr>
        <w:t xml:space="preserve"> </w:t>
      </w:r>
      <w:r w:rsidR="00330927" w:rsidRPr="00BA3910">
        <w:rPr>
          <w:rFonts w:ascii="Arial" w:hAnsi="Arial" w:cs="Arial"/>
          <w:lang w:val="en-GB"/>
        </w:rPr>
        <w:t xml:space="preserve">implantable cardioverter defibrillator or pacemaker, </w:t>
      </w:r>
      <w:r w:rsidR="006A37DE" w:rsidRPr="00BA3910">
        <w:rPr>
          <w:rFonts w:ascii="Arial" w:hAnsi="Arial" w:cs="Arial"/>
          <w:lang w:val="en-GB"/>
        </w:rPr>
        <w:t xml:space="preserve">or </w:t>
      </w:r>
      <w:r w:rsidR="00330927" w:rsidRPr="00BA3910">
        <w:rPr>
          <w:rFonts w:ascii="Arial" w:hAnsi="Arial" w:cs="Arial"/>
          <w:lang w:val="en-GB"/>
        </w:rPr>
        <w:t>ascites at pre-</w:t>
      </w:r>
      <w:r w:rsidR="00F64ADD" w:rsidRPr="00BA3910">
        <w:rPr>
          <w:rFonts w:ascii="Arial" w:hAnsi="Arial" w:cs="Arial"/>
          <w:lang w:val="en-GB"/>
        </w:rPr>
        <w:t>HSCT</w:t>
      </w:r>
      <w:r w:rsidR="00330927" w:rsidRPr="00BA3910">
        <w:rPr>
          <w:rFonts w:ascii="Arial" w:hAnsi="Arial" w:cs="Arial"/>
          <w:lang w:val="en-GB"/>
        </w:rPr>
        <w:t xml:space="preserve"> assessment </w:t>
      </w:r>
      <w:r w:rsidR="00AA6693">
        <w:rPr>
          <w:rFonts w:ascii="Arial" w:hAnsi="Arial" w:cs="Arial"/>
          <w:lang w:val="en-GB"/>
        </w:rPr>
        <w:t xml:space="preserve">(due to its </w:t>
      </w:r>
      <w:r w:rsidR="004F6B1E">
        <w:rPr>
          <w:rFonts w:ascii="Arial" w:hAnsi="Arial" w:cs="Arial"/>
          <w:lang w:val="en-GB"/>
        </w:rPr>
        <w:t xml:space="preserve">possible </w:t>
      </w:r>
      <w:r w:rsidR="00AA6693">
        <w:rPr>
          <w:rFonts w:ascii="Arial" w:hAnsi="Arial" w:cs="Arial"/>
          <w:lang w:val="en-GB"/>
        </w:rPr>
        <w:t>interference with LSM).</w:t>
      </w:r>
    </w:p>
    <w:p w14:paraId="1CB797AD" w14:textId="77777777" w:rsidR="00D95087" w:rsidRPr="00BA3910" w:rsidRDefault="00D95087" w:rsidP="00D95087">
      <w:pPr>
        <w:spacing w:line="360" w:lineRule="auto"/>
        <w:jc w:val="both"/>
        <w:outlineLvl w:val="0"/>
        <w:rPr>
          <w:rFonts w:ascii="Arial" w:hAnsi="Arial" w:cs="Arial"/>
          <w:lang w:val="en-GB"/>
        </w:rPr>
      </w:pPr>
      <w:r w:rsidRPr="00BA3910">
        <w:rPr>
          <w:rFonts w:ascii="Arial" w:hAnsi="Arial" w:cs="Arial"/>
          <w:lang w:val="en-GB"/>
        </w:rPr>
        <w:t>Patients were screened for study inclusion within 30 days before HSCT and followed up until +100 days after HSCT</w:t>
      </w:r>
      <w:r>
        <w:rPr>
          <w:rFonts w:ascii="Arial" w:hAnsi="Arial" w:cs="Arial"/>
          <w:lang w:val="en-GB"/>
        </w:rPr>
        <w:t xml:space="preserve"> with the complete data set and at one year for overall survival</w:t>
      </w:r>
      <w:r w:rsidRPr="00BA3910">
        <w:rPr>
          <w:rFonts w:ascii="Arial" w:hAnsi="Arial" w:cs="Arial"/>
          <w:lang w:val="en-GB"/>
        </w:rPr>
        <w:t>.</w:t>
      </w:r>
      <w:r w:rsidRPr="00BA3910">
        <w:rPr>
          <w:rFonts w:ascii="Arial" w:hAnsi="Arial" w:cs="Arial"/>
          <w:strike/>
          <w:lang w:val="en-GB"/>
        </w:rPr>
        <w:t xml:space="preserve"> </w:t>
      </w:r>
    </w:p>
    <w:p w14:paraId="62CCD656" w14:textId="5D550AFA" w:rsidR="00D95087" w:rsidRPr="00AA6693" w:rsidRDefault="00D95087" w:rsidP="00C17160">
      <w:pPr>
        <w:spacing w:line="360" w:lineRule="auto"/>
        <w:jc w:val="both"/>
        <w:outlineLvl w:val="0"/>
        <w:rPr>
          <w:rFonts w:ascii="Arial" w:hAnsi="Arial" w:cs="Arial"/>
          <w:lang w:val="en-GB"/>
        </w:rPr>
      </w:pPr>
      <w:r w:rsidRPr="00BA3910">
        <w:rPr>
          <w:rFonts w:ascii="Arial" w:hAnsi="Arial" w:cs="Arial"/>
          <w:bCs/>
          <w:lang w:val="en-GB"/>
        </w:rPr>
        <w:t>The VOD/SOS diagnosis was performed by each investigator according to the local institutional policy, according to defined clinical diagnostic criteria such as the modified Seattle Criteria</w:t>
      </w:r>
      <w:r>
        <w:rPr>
          <w:rFonts w:ascii="Arial" w:hAnsi="Arial" w:cs="Arial"/>
          <w:bCs/>
          <w:lang w:val="en-GB"/>
        </w:rPr>
        <w:fldChar w:fldCharType="begin"/>
      </w:r>
      <w:r w:rsidR="004F0C0D">
        <w:rPr>
          <w:rFonts w:ascii="Arial" w:hAnsi="Arial" w:cs="Arial"/>
          <w:bCs/>
          <w:lang w:val="en-GB"/>
        </w:rPr>
        <w:instrText xml:space="preserve"> ADDIN ZOTERO_ITEM CSL_CITATION {"citationID":"F5aAfFuF","properties":{"formattedCitation":"\\super 21\\nosupersub{}","plainCitation":"21","noteIndex":0},"citationItems":[{"id":4124,"uris":["http://zotero.org/users/9632340/items/Q8BVT93Z"],"itemData":{"id":4124,"type":"article-journal","abstract":"Objective: To determine the incidence and clinical course of veno-occlusive disease of the liver (VOD) after bone marrow transplantation and to analyze risk factors for severe VOD. Design: Cohort study of 355 consecutive patients. Setting: A bone marrow transplantation center. Measurements: Each patient was prospectively evaluated for VOD, and many risk factors for severe VOD were analyzed using logistic regression models. The relation of VOD to renal and cardiopulmonary failure was analyzed using time-dependent proportional hazards models. Results: Veno-occlusive disease developed in 190 of 355 patients (54%; 95% Cl, 48% to 59%): Fifty-four patients had severe VOD and 136 had mild or moderate VOD. Independent variables derived from a multivariate model for predicting severe VOD included elevated transaminase values before transplantation (relative risk, 4.6; P &lt; 0.0001); vancomycin therapy during cytoreductive therapy (relative risk, 2.9; P = 0.003); cytoreductive therapy with a high-dose regimen (relative risk, 2.8; P = 0.01); acyclovir therapy before transplantation (relative risk, 4.8; P= 0.02); mismatched or unrel</w:instrText>
      </w:r>
      <w:r w:rsidR="004F0C0D" w:rsidRPr="0061511A">
        <w:rPr>
          <w:rFonts w:ascii="Arial" w:hAnsi="Arial" w:cs="Arial"/>
          <w:bCs/>
        </w:rPr>
        <w:instrText>ated donor marrow (relative risk, 2.4; P = 0.02); and previous radiation therapy to the abdomen (relative risk, 2.2; P = 0.04). Vancomycin therapy was a marker for persistent fever. Multiorgan failure was more frequent among patients with VOD and usually followed the onset of liver disease. Conclusions: Veno-occlusive disease, which developed in 54% of bone marrow transplant recipients, is frequently associated with renal and cardiopulmonary failure. Pretransplant transaminase elevations, use of high-dose cytoreductive therapy, and persistent fever during cytoreductive therapy are independent predictors of severe VOD.","container-title":"Annals of Internal Medicine","DOI":"10.7326/0003-4819-118-4-199302150-00003","ISSN":"00034819","issue":"4","note":"publisher: American College of Physicians\nPMID: 8420443","page":"255–267","title":"Veno-occlusive disease of the liver and multiorgan failure after bone marrow transplantation: A cohort study of 355 patients","volume":"118","author":[{"family":"McDonald","given":"George B."},{"family":"Hinds","given":"Mary S."},{"family":"Fisher","given":"Lloyd D."},{"family":"Schoch","given":"Howard G."},{"family":"Wolford","given":"John L."},{"family":"Banaji","given":"Meera"},{"family":"Hardin","given":"Barbara J."},{"family":"Shulman","given":"Howard M."},{"family":"Clift","given":"Reginald A."}],"issued":{"date-parts"</w:instrText>
      </w:r>
      <w:r w:rsidR="004F0C0D" w:rsidRPr="004F0C0D">
        <w:rPr>
          <w:rFonts w:ascii="Arial" w:hAnsi="Arial" w:cs="Arial"/>
          <w:bCs/>
        </w:rPr>
        <w:instrText xml:space="preserve">:[["1993",2]]}},"label":"page"}],"schema":"https://github.com/citation-style-language/schema/raw/master/csl-citation.json"} </w:instrText>
      </w:r>
      <w:r>
        <w:rPr>
          <w:rFonts w:ascii="Arial" w:hAnsi="Arial" w:cs="Arial"/>
          <w:bCs/>
          <w:lang w:val="en-GB"/>
        </w:rPr>
        <w:fldChar w:fldCharType="separate"/>
      </w:r>
      <w:r w:rsidR="004F0C0D" w:rsidRPr="004F0C0D">
        <w:rPr>
          <w:rFonts w:ascii="Arial" w:hAnsi="Arial" w:cs="Arial"/>
          <w:vertAlign w:val="superscript"/>
        </w:rPr>
        <w:t>21</w:t>
      </w:r>
      <w:r>
        <w:rPr>
          <w:rFonts w:ascii="Arial" w:hAnsi="Arial" w:cs="Arial"/>
          <w:bCs/>
          <w:lang w:val="en-GB"/>
        </w:rPr>
        <w:fldChar w:fldCharType="end"/>
      </w:r>
      <w:r w:rsidRPr="00EF6821">
        <w:rPr>
          <w:rFonts w:ascii="Arial" w:hAnsi="Arial" w:cs="Arial"/>
          <w:bCs/>
        </w:rPr>
        <w:t xml:space="preserve">, Baltimore Criteria </w:t>
      </w:r>
      <w:r>
        <w:rPr>
          <w:rFonts w:ascii="Arial" w:hAnsi="Arial" w:cs="Arial"/>
          <w:bCs/>
          <w:lang w:val="en-GB"/>
        </w:rPr>
        <w:fldChar w:fldCharType="begin"/>
      </w:r>
      <w:r w:rsidR="004F0C0D">
        <w:rPr>
          <w:rFonts w:ascii="Arial" w:hAnsi="Arial" w:cs="Arial"/>
          <w:bCs/>
        </w:rPr>
        <w:instrText xml:space="preserve"> ADDIN ZOTERO_ITEM CSL_CITATION {"citationID":"FJwxDRK5","properties":{"formattedCitation":"\\super 22\\nosupersub{}","plainCitation":"22","noteIndex":0},"citationItems":[{"id":9139,"uris":["http://zotero.org/users/9632340/items/7CGTLLFS"],"itemData":{"id":9139,"type":"article-journal","abstract":"Review of 235 consecutive patients undergoing bone marrow transplantation was performed in order to define the clinical syndrome of venoocclusive disease of the liver (VOD) in these patients. Analysis of all patients with histologically proven VOD revealed a consistent clinical syndrome of liver dysfunction occurring within the first 3 weeks after marrow infusion. This was characterized by hyperbilirubinemia peaking at greater than or equal to 2 mg/dl with at least 2 of 3 other findings: hepatomegaly, ascites, and 5% or greater weight gain. VOD developed in 22% (52 of 235). A persistently elevated aspartate aminotransferase (SGOT) prior to transplant was associated with an increased risk of developing VOD by multivariate analysis (P = 0.0003), and acute leukemia in first remission was associated with a decreased risk (P = 0.02). Neither the preparative regimen (busulfan and cyclophosphamide versus cyclophosphamide and total body irradiation) nor the type of graft (allogeneic versus autologous) influenced the occurrence. Twenty-four of these 52 patients (47%) died with VOD (10% of the entire group). This makes VOD the third leading cause of death in our allogeneic graft recipients, and the second leading cause in our patients receiving autologous transplants. VOD is a common complication of bone marrow transplantation and has a specific clinical presentation, which usually allows diagnosis without the need of liver biopsy.","container-title":"Transplantation","ISSN":"0041-1337","issue":"6","note":"PMID: 3321587","page":"778–83","title":"Venoocclusive disease of the liver following bone marrow transplantation.","volume":"44","author":[{"family":"Jones","given":"R J"},{"family":"Lee","given":"K S"},{"family":"Beschorner","given":"W E"},{"family":"Vogel","given":"V G"},{"family":"Grochow","given":"L B"},{"family":"Braine","given":"H G"},{"family":"Vogelsang","given":"G B"},{"family":"Sensenbrenner","given":"L L"},{"family":"Santos","given":"G W"},{"family":"Saral","given":"R"}],"issued":{"date-parts":[["1987",12]]}}}],"schema":"https://github.com/citation-style-language/schema/raw/master/csl-citation.json"} </w:instrText>
      </w:r>
      <w:r>
        <w:rPr>
          <w:rFonts w:ascii="Arial" w:hAnsi="Arial" w:cs="Arial"/>
          <w:bCs/>
          <w:lang w:val="en-GB"/>
        </w:rPr>
        <w:fldChar w:fldCharType="separate"/>
      </w:r>
      <w:r w:rsidR="004F0C0D" w:rsidRPr="004F0C0D">
        <w:rPr>
          <w:rFonts w:ascii="Arial" w:hAnsi="Arial" w:cs="Arial"/>
          <w:vertAlign w:val="superscript"/>
        </w:rPr>
        <w:t>22</w:t>
      </w:r>
      <w:r>
        <w:rPr>
          <w:rFonts w:ascii="Arial" w:hAnsi="Arial" w:cs="Arial"/>
          <w:bCs/>
          <w:lang w:val="en-GB"/>
        </w:rPr>
        <w:fldChar w:fldCharType="end"/>
      </w:r>
      <w:r w:rsidRPr="00EF6821">
        <w:rPr>
          <w:rFonts w:ascii="Arial" w:hAnsi="Arial" w:cs="Arial"/>
          <w:bCs/>
        </w:rPr>
        <w:t xml:space="preserve"> and the EBMT diagnostic criteria, both for paediatric and adult patients</w:t>
      </w:r>
      <w:r>
        <w:rPr>
          <w:rFonts w:ascii="Arial" w:hAnsi="Arial" w:cs="Arial"/>
          <w:bCs/>
        </w:rPr>
        <w:fldChar w:fldCharType="begin"/>
      </w:r>
      <w:r>
        <w:rPr>
          <w:rFonts w:ascii="Arial" w:hAnsi="Arial" w:cs="Arial"/>
          <w:bCs/>
        </w:rPr>
        <w:instrText xml:space="preserve"> ADDIN ZOTERO_ITEM CSL_CITATION {"citationID":"7Hp5bJBr","properties":{"formattedCitation":"\\super 2,5\\nosupersub{}","plainCitation":"2,5","noteIndex":0},"citationItems":[{"id":10129,"uris":["http://zotero.org/users/9632340/items/Z328MIS8"],"itemData":{"id":10129,"type":"article-journal","container-title":"Bone Marrow Transplantation","DOI":"10.1038/s41409-023-01992-8","ISSN":"0268-3369, 1476-5365","issue":"7","journalAbbreviation":"Bone Marrow Transplant","language":"en","page":"749-754","source":"DOI.org (Crossref)","title":"Diagnosis and severity criteria for sinusoidal obstruction syndrome/veno-occlusive disease in adult patients: a refined classification from the European society for blood and marrow transplantation (EBMT)","title-short":"Diagnosis and severity criteria for sinusoidal obstruction syndrome/veno-occlusive disease in adult patients","volume":"58","author":[{"family":"Mohty","given":"Mohamad"},{"family":"Malard","given":"Florent"},{"family":"Alaskar","given":"Ahmed S."},{"family":"Aljurf","given":"Mahmoud"},{"family":"Arat","given":"Mutlu"},{"family":"Bader","given":"Peter"},{"family":"Baron","given":"Frederic"},{"family":"Bazarbachi","given":"Ali"},{"family":"Blaise","given":"Didier"},{"family":"Brissot","given":"Eolia"},{"family":"Ciceri","given":"Fabio"},{"family":"Corbacioglu","given":"Selim"},{"family":"Dalle","given":"Jean-Hugues"},{"family":"Dignan","given":"Fiona"},{"family":"Huynh","given":"Anne"},{"family":"Kenyon","given":"Michelle"},{"family":"Nagler","given":"Arnon"},{"family":"Pagliuca","given":"Antonio"},{"family":"Perić","given":"Zinaida"},{"family":"Richardson","given":"Paul G."},{"family":"Ruggeri","given":"Annalisa"},{"family":"Ruutu","given":"Tapani"},{"family":"Yakoub-Agha","given":"Ibrahim"},{"family":"Duarte","given":"Rafael F."},{"family":"Carreras","given":"Enric"}],"issued":{"date-parts":[["2023",7]]}}},{"id":4130,"uris":["http://zotero.org/users/9632340/items/3ECRK9BM"],"itemData":{"id":4130,"type":"article-journal","abstract":"The advances in hematopoietic cell transplantation (HCT) over the last decade have led to a transplant-related mortality below 15%. Hepatic sinusoidal obstruction syndrome/veno-occlusive disease (SOS/VOD) is a life-threatening complication of HCT that belongs to a group of diseases increasingly identified as transplant-related, systemic endothelial diseases. In most cases, SOS/VOD resolves within weeks; however, severe SOS/VOD results in multi-organ dysfunction/failure with a mortality rate &gt;80%. A timely diagnosis of SOS/VOD is of critical importance, given the availability of therapeutic options with favorable tolerability. Current diagnostic criteria are used for adults and children. However, over the last decade it has become clear that SOS/VOD is significantly different between the age groups in terms of incidence, genetic predisposition, clinical presentation, prevention, treatment and outcome. Improved understanding of SOS/VOD and the availability of effective treatment questions the use of the Baltimore and Seattle criteria for diagnosing SOS/VOD in children. The aim of this position paper is to propose new diagnostic and severity criteria for SOS/VOD in children on behalf of the European Society for Blood and Marrow Transplantation.","container-title":"Bone Marrow Transplantation","D</w:instrText>
      </w:r>
      <w:r w:rsidRPr="00EF6821">
        <w:rPr>
          <w:rFonts w:ascii="Arial" w:hAnsi="Arial" w:cs="Arial"/>
          <w:bCs/>
          <w:lang w:val="en-US"/>
        </w:rPr>
        <w:instrText xml:space="preserve">OI":"10.1038/bmt.2017.161","ISSN":"14765365","issue":"2","note":"publisher: Nature Publishing Group\nPMID: 28759025","page":"138–145","title":"Diagnosis and severity criteria for sinusoidal obstruction syndrome/veno-occlusive disease in pediatric patients: A new classification from the European society for blood and marrow transplantation","volume":"53","author":[{"family":"Corbacioglu","given":"S."},{"family":"Carreras","given":"E."},{"family":"Ansari","given":"M."},{"family":"Balduzzi","given":"A."},{"family":"Cesaro","given":"S."},{"family":"Dalle","given":"J. H."},{"family":"Dignan","given":"F."},{"family":"Gibson","given":"B."},{"family":"Guengoer","given":"T."},{"family":"Gruhn","given":"B."},{"family":"Lankester","given":"A."},{"family":"Locatelli","given":"F."},{"family":"Pagliuca","given":"A."},{"family":"Peters","given":"C."},{"family":"Richardson","given":"P. G."},{"family":"Schulz","given":"A. S."},{"family":"Sedlacek","given":"P."},{"family":"Stein","given":"J."},{"family":"Sykora","given":"K. W."},{"family":"Toporski","given":"J."},{"family":"Trigoso","given":"E."},{"family":"Vetteranta","given":"K."},{"family":"Wachowiak","given":"J."},{"family":"Wallhult","given":"E."},{"family":"Wynn","given":"R."},{"family":"Yaniv","given":"I."},{"family":"Yesilipek","given":"A."},{"family":"Mohty","given":"M."},{"family":"Bader","given":"P."}],"issued":{"date-parts":[["2018",2]]}}}],"schema":"https://github.com/citation-style-language/schema/raw/master/csl-citation.json"} </w:instrText>
      </w:r>
      <w:r>
        <w:rPr>
          <w:rFonts w:ascii="Arial" w:hAnsi="Arial" w:cs="Arial"/>
          <w:bCs/>
        </w:rPr>
        <w:fldChar w:fldCharType="separate"/>
      </w:r>
      <w:r w:rsidRPr="00EF6821">
        <w:rPr>
          <w:rFonts w:ascii="Arial" w:hAnsi="Arial" w:cs="Arial"/>
          <w:vertAlign w:val="superscript"/>
          <w:lang w:val="en-US"/>
        </w:rPr>
        <w:t>2,5</w:t>
      </w:r>
      <w:r>
        <w:rPr>
          <w:rFonts w:ascii="Arial" w:hAnsi="Arial" w:cs="Arial"/>
          <w:bCs/>
        </w:rPr>
        <w:fldChar w:fldCharType="end"/>
      </w:r>
      <w:r w:rsidRPr="00EF6821">
        <w:rPr>
          <w:rFonts w:ascii="Arial" w:hAnsi="Arial" w:cs="Arial"/>
          <w:bCs/>
          <w:lang w:val="en-US"/>
        </w:rPr>
        <w:t xml:space="preserve">. </w:t>
      </w:r>
      <w:r w:rsidRPr="00BA3910">
        <w:rPr>
          <w:rFonts w:ascii="Arial" w:hAnsi="Arial" w:cs="Arial"/>
          <w:lang w:val="en-GB"/>
        </w:rPr>
        <w:t>VOD/SOS grading was defined in accordance with EBMT criteria for severity grading</w:t>
      </w:r>
      <w:r>
        <w:rPr>
          <w:rFonts w:ascii="Arial" w:hAnsi="Arial" w:cs="Arial"/>
          <w:bCs/>
        </w:rPr>
        <w:fldChar w:fldCharType="begin"/>
      </w:r>
      <w:r>
        <w:rPr>
          <w:rFonts w:ascii="Arial" w:hAnsi="Arial" w:cs="Arial"/>
          <w:bCs/>
          <w:lang w:val="en-US"/>
        </w:rPr>
        <w:instrText xml:space="preserve"> ADDIN ZOTERO_ITEM CSL_CITATION {"citationID":"EQp6VuI9","properties":{"formattedCitation":"\\super 2,5\\nosupersub{}","plainCitation":"2,5","noteIndex":0},"citationItems":[{"id":10129,"uris":["http://zotero.org/users/9632340/items/Z328MIS8"],"itemData":{"id":10129,"type":"article-journal","container-title":"Bone Marrow Transplantation","DOI":"10.1038/s41409-023-01992-8","ISSN":"0268-3369, 1476-5365","issue":"7","journalAbbreviation":"Bone Marrow Transplant","language":"en","page":"749-754","source":"DOI.org (Crossref)","title":"Diagnosis and severity criteria for sinusoidal obstruction syndrome/veno-occlusive disease in adult patients: a refined classification from the European society for blood and marrow transplantation (EBMT)","title-short":"Diagnosis and severity criteria for sinusoidal obstruction syndrome/veno-occlusive disease in adult patients","volume":"58","author":[{"family":"Mohty","given":"Mohamad"},{"family":"Malard","given":"Florent"},{"family":"Alaskar","given":"Ahmed S."},{"family":"Aljurf","given":"Mahmoud"},{"family":"Arat","given":"Mutlu"},{"family":"Bader","given":"Peter"},{"family":"Baron","given":"Frederic"},{"family":"Bazarbachi","given":"Ali"},{"family":"Blaise","given":"Didier"},{"family":"Brissot","given":"Eolia"},{"family":"Ciceri","given":"Fabio"},{"family":"Corbacioglu","given":"Selim"},{"family":"Dalle","given":"Jean-Hugues"},{"family":"Dignan","given":"Fiona"},{"family":"Huynh","given":"Anne"},{"family":"Kenyon","given":"Michelle"},{"family":"Nagler","given":"Arnon"},{"family":"Pagliuca","given":"Antonio"},{"family":"Perić","given":"Zinaida"},{"family":"Richardson","given":"Paul G."},{"family":"Ruggeri","given":"Annalisa"},{"family":"Ruutu","given":"Tapani"},{"family":"Yakoub-Agha","given":"Ibrahim"},{"family":"Duarte","given":"Rafael F."},{"family":"Carreras","given":"Enric"}],"issued":{"date-parts":[["2023",7]]}}},{"id":4130,"uris":["http://zotero.org/users/9632340/items/3ECRK9BM"],"itemData":{"id":4130,"type":"article-journal","abstract":"The advances in hematopoietic cell transplantation (HCT) over the last decade have led to a transplant-related mortality below 15%. Hepatic sinusoidal obstruction syndrome/veno-occlusive disease (SOS/VOD) is a life-threatening complication of HCT that belongs to a group of diseases increasingly identified as transplant-related, systemic endothelial diseases. In most cases, SOS/VOD resolves within weeks; however, severe SOS/VOD results in multi-organ dysfunction/failure with a mortality rate &gt;80%. A timely diagnosis of SOS/VOD is of critical importance, given the availability of therapeutic options with favorable tolerability. Current diagnostic criteria are used for adults and children. However, over the last decade it has become clear that SOS/VOD is significantly different between the age groups in terms of incidence, genetic predisposition, clinical presentation, prevention, treatment and outcome. Improved understanding of SOS/VOD and the availability of effective treatment questions the use of the Baltimore and Seattle criteria for diagnosing SOS/VOD in children. The aim of this position paper is to propose new diagnostic and severity criteria for SOS/VOD in children on behalf of the European Society for Blood and Marrow Transplantation.","container-title":"Bone Marrow Transplantation","DOI":"10.1038/bmt.2017.161","ISSN":"14765365","issue":"2","note":"publisher: Nature Publishing Group\nPMID: 28759025","page":"138–145","title":"Diagnosis and severity criteria for sinusoidal obstruction syndrome/veno-occlusive disease in pediatric patients: A new classification from the European society for blood and marrow transplantation","volume":"53","author":[{"family":"Corbacioglu","given":"S."},{"family":"Carreras","given":"E."},{"family":"Ansari","given":"M."},{"family":"Balduzzi","given":"A."},{"family":"Cesaro","given":"S."},{"family":"Dalle","given":"J. H."},{"family":"Dignan","given":"F."},{"family":"Gibson","given":"B."},{"family":"Guengoer","given":"T."},{"family":"Gruhn","given":"B."},{"family":"Lankester","given":"A."},{"family":"Locatelli","given":"F."},{"family":"Pagliuca","given":"A."},{"family":"Peters","given":"C."},{"family":"Richardson","given":"P. G."},{"family":"Schulz","given":"A. S."},{"family":"Sedlacek","given":"P."},{"family":"Stein","given":"J."},{"family":"Sykora","given":"K. W."},{"family":"Toporski","given":"J."},{"family":"Trigoso","given":"E."},{"family":"Vetteranta","given":"K."},{"family":"Wachowiak","given":"J."},{"family":"Wallhult","given":"E."},{"family":"Wynn","given":"R."},{"family":"Yaniv","given":"I."},{"family":"Yesilipek","given":"A."},{"family":"Mohty","given":"M."},{"family":"Bader","given":"P."}],"issued":{"date-parts":[["2018",2]]}}}],"schema":"https://github.com/citation-style-language/schema/raw/master/csl-citation.json"} </w:instrText>
      </w:r>
      <w:r>
        <w:rPr>
          <w:rFonts w:ascii="Arial" w:hAnsi="Arial" w:cs="Arial"/>
          <w:bCs/>
        </w:rPr>
        <w:fldChar w:fldCharType="separate"/>
      </w:r>
      <w:r w:rsidRPr="00EF6821">
        <w:rPr>
          <w:rFonts w:ascii="Arial" w:hAnsi="Arial" w:cs="Arial"/>
          <w:vertAlign w:val="superscript"/>
          <w:lang w:val="en-US"/>
        </w:rPr>
        <w:t>2,5</w:t>
      </w:r>
      <w:r>
        <w:rPr>
          <w:rFonts w:ascii="Arial" w:hAnsi="Arial" w:cs="Arial"/>
          <w:bCs/>
        </w:rPr>
        <w:fldChar w:fldCharType="end"/>
      </w:r>
      <w:r w:rsidRPr="00EF6821">
        <w:rPr>
          <w:rFonts w:ascii="Arial" w:hAnsi="Arial" w:cs="Arial"/>
          <w:bCs/>
          <w:lang w:val="en-US"/>
        </w:rPr>
        <w:t xml:space="preserve"> </w:t>
      </w:r>
      <w:r w:rsidRPr="00BA3910">
        <w:rPr>
          <w:rFonts w:ascii="Arial" w:hAnsi="Arial" w:cs="Arial"/>
          <w:lang w:val="en-GB"/>
        </w:rPr>
        <w:t xml:space="preserve">and reported by all investigators, independently </w:t>
      </w:r>
      <w:r>
        <w:rPr>
          <w:rFonts w:ascii="Arial" w:hAnsi="Arial" w:cs="Arial"/>
          <w:lang w:val="en-GB"/>
        </w:rPr>
        <w:t xml:space="preserve">of </w:t>
      </w:r>
      <w:r w:rsidRPr="00BA3910">
        <w:rPr>
          <w:rFonts w:ascii="Arial" w:hAnsi="Arial" w:cs="Arial"/>
          <w:lang w:val="en-GB"/>
        </w:rPr>
        <w:t xml:space="preserve">the diagnostic criteria used. Each component of the clinical diagnostic criteria was reported in the electronic case report form (eCRF) and completed by the investigators at each time point and at the diagnosis of VOD/SOS. Abdominal ultrasound has been performed whenever clinically required, </w:t>
      </w:r>
      <w:r>
        <w:rPr>
          <w:rFonts w:ascii="Arial" w:hAnsi="Arial" w:cs="Arial"/>
          <w:lang w:val="en-GB"/>
        </w:rPr>
        <w:t>as well as</w:t>
      </w:r>
      <w:r w:rsidRPr="00BA3910">
        <w:rPr>
          <w:rFonts w:ascii="Arial" w:hAnsi="Arial" w:cs="Arial"/>
          <w:lang w:val="en-GB"/>
        </w:rPr>
        <w:t xml:space="preserve"> for differential diagnosis between VOD/SOS and other hepatobiliary complications.</w:t>
      </w:r>
      <w:r w:rsidR="00AB318A">
        <w:rPr>
          <w:rFonts w:ascii="Arial" w:hAnsi="Arial" w:cs="Arial"/>
          <w:lang w:val="en-GB"/>
        </w:rPr>
        <w:t xml:space="preserve"> </w:t>
      </w:r>
      <w:r w:rsidRPr="00BA3910">
        <w:rPr>
          <w:rFonts w:ascii="Arial" w:hAnsi="Arial" w:cs="Arial"/>
          <w:lang w:val="en-GB"/>
        </w:rPr>
        <w:t xml:space="preserve">During the baseline pre-HSCT assessment, a clinical evaluation including patient characteristics (demographic, </w:t>
      </w:r>
      <w:r>
        <w:rPr>
          <w:rFonts w:ascii="Arial" w:hAnsi="Arial" w:cs="Arial"/>
          <w:lang w:val="en-GB"/>
        </w:rPr>
        <w:t>h</w:t>
      </w:r>
      <w:r w:rsidRPr="00BA3910">
        <w:rPr>
          <w:rFonts w:ascii="Arial" w:hAnsi="Arial" w:cs="Arial"/>
          <w:lang w:val="en-GB"/>
        </w:rPr>
        <w:t xml:space="preserve">ematopoietic cell transplantation-specific comorbidity index [HCT-CI Sorror], history of liver disease and blood transfusion history), transplant characteristics (transplant indication, type of HSCT, disease phase, pre-HSCT disease status, stem cell sources, conditioning drugs, GVHD and </w:t>
      </w:r>
      <w:r>
        <w:rPr>
          <w:rFonts w:ascii="Arial" w:hAnsi="Arial" w:cs="Arial"/>
          <w:lang w:val="en-GB"/>
        </w:rPr>
        <w:t>VOD/SOS</w:t>
      </w:r>
      <w:r w:rsidRPr="00BA3910">
        <w:rPr>
          <w:rFonts w:ascii="Arial" w:hAnsi="Arial" w:cs="Arial"/>
          <w:lang w:val="en-GB"/>
        </w:rPr>
        <w:t xml:space="preserve"> prophylaxis) and the</w:t>
      </w:r>
      <w:r w:rsidRPr="00BA3910">
        <w:rPr>
          <w:lang w:val="en-GB"/>
        </w:rPr>
        <w:t xml:space="preserve"> </w:t>
      </w:r>
      <w:r w:rsidRPr="00BA3910">
        <w:rPr>
          <w:rFonts w:ascii="Arial" w:hAnsi="Arial" w:cs="Arial"/>
          <w:lang w:val="en-GB"/>
        </w:rPr>
        <w:t>European Group for Blood and Marrow Transplantation (EBMT) risk factors assessment</w:t>
      </w:r>
      <w:r>
        <w:rPr>
          <w:rFonts w:ascii="Arial" w:hAnsi="Arial" w:cs="Arial"/>
          <w:bCs/>
        </w:rPr>
        <w:fldChar w:fldCharType="begin"/>
      </w:r>
      <w:r>
        <w:rPr>
          <w:rFonts w:ascii="Arial" w:hAnsi="Arial" w:cs="Arial"/>
          <w:bCs/>
          <w:lang w:val="en-US"/>
        </w:rPr>
        <w:instrText xml:space="preserve"> ADDIN ZOTERO_ITEM CSL_CITATION {"citationID":"dIhNoUgy","properties":{"formattedCitation":"\\super 2,5\\nosupersub{}","plainCitation":"2,5","noteIndex":0},"citationItems":[{"id":10129,"uris":["http://zotero.org/users/9632340/items/Z328MIS8"],"itemData":{"id":10129,"type":"article-journal","container-title":"Bone Marrow Transplantation","DOI":"10.1038/s41409-023-01992-8","ISSN":"0268-3369, 1476-5365","issue":"7","journalAbbreviation":"Bone Marrow Transplant","language":"en","page":"749-754","source":"DOI.org (Crossref)","title":"Diagnosis and severity criteria for sinusoidal obstruction syndrome/veno-occlusive disease in adult patients: a refined classification from the European society for blood and marrow transplantation (EBMT)","title-short":"Diagnosis and severity criteria for sinusoidal obstruction syndrome/veno-occlusive disease in adult patients","volume":"58","author":[{"family":"Mohty","given":"Mohamad"},{"family":"Malard","given":"Florent"},{"family":"Alaskar","given":"Ahmed S."},{"family":"Aljurf","given":"Mahmoud"},{"family":"Arat","given":"Mutlu"},{"family":"Bader","given":"Peter"},{"family":"Baron","given":"Frederic"},{"family":"Bazarbachi","given":"Ali"},{"family":"Blaise","given":"Didier"},{"family":"Brissot","given":"Eolia"},{"family":"Ciceri","given":"Fabio"},{"family":"Corbacioglu","given":"Selim"},{"family":"Dalle","given":"Jean-Hugues"},{"family":"Dignan","given":"Fiona"},{"family":"Huynh","given":"Anne"},{"family":"Kenyon","given":"Michelle"},{"family":"Nagler","given":"Arnon"},{"family":"Pagliuca","given":"Antonio"},{"family":"Perić","given":"Zinaida"},{"family":"Richardson","given":"Paul G."},{"family":"Ruggeri","given":"Annalisa"},{"family":"Ruutu","given":"Tapani"},{"family":"Yakoub-Agha","given":"Ibrahim"},{"family":"Duarte","given":"Rafael F."},{"family":"Carreras","given":"Enric"}],"issued":{"date-parts":[["2023",7]]}}},{"id":4130,"uris":["http://zotero.org/users/9632340/items/3ECRK9BM"],"itemData":{"id":4130,"type":"article-journal","abstract":"The advances in hematopoietic cell transplantation (HCT) over the last decade have led to a transplant-related mortality below 15%. Hepatic sinusoidal obstruction syndrome/veno-occlusive disease (SOS/VOD) is a life-threatening complication of HCT that belongs to a group of diseases increasingly identified as transplant-related, systemic endothelial diseases. In most cases, SOS/VOD resolves within weeks; however, severe SOS/VOD results in multi-organ dysfunction/failure with a mortality rate &gt;80%. A timely diagnosis of SOS/VOD is of critical importance, given the availability of therapeutic options with favorable tolerability. Current diagnostic criteria are used for adults and children. However, over the last decade it has become clear that SOS/VOD is significantly different between the age groups in terms of incidence, genetic predisposition, clinical presentation, prevention, treatment and outcome. Improved understanding of SOS/VOD and the availability of effective treatment questions the use of the Baltimore and Seattle criteria for diagnosing SOS/VOD in children. The aim of this position paper is to propose new diagnostic and severity criteria for SOS/VOD in children on behalf of the European Society for Blood and Marrow Transplantation.","container-title":"Bone Marrow Transplantation","DOI":"10.1038/bmt.2017.161","ISSN":"14765365","issue":"2","note":"publisher: Nature Publishing Group\nPMID: 28759025","page":"138–145","title":"Diagnosis and severity criteria for sinusoidal obstruction syndrome/veno-occlusive disease in pediatric patients: A new classification from the European society for blood and marrow transplantation","volume":"53","author":[{"family":"Corbacioglu","given":"S."},{"family":"Carreras","given":"E."},{"family":"Ansari","given":"M."},{"family":"Balduzzi","given":"A."},{"family":"Cesaro","given":"S."},{"family":"Dalle","given":"J. H."},{"family":"Dignan","given":"F."},{"family":"Gibson","given":"B."},{"family":"Guengoer","given":"T."},{"family":"Gruhn","given":"B."},{"family":"Lankester","given":"A."},{"family":"Locatelli","given":"F."},{"family":"Pagliuca","given":"A."},{"family":"Peters","given":"C."},{"family":"Richardson","given":"P. G."},{"family":"Schulz","given":"A. S."},{"family":"Sedlacek","given":"P."},{"family":"Stein","given":"J."},{"family":"Sykora","given":"K. W."},{"family":"Toporski","given":"J."},{"family":"Trigoso","given":"E."},{"family":"Vetteranta","given":"K."},{"family":"Wachowiak","given":"J."},{"family":"Wallhult","given":"E."},{"family":"Wynn","given":"R."},{"family":"Yaniv","given":"I."},{"family":"Yesilipek","given":"A."},{"family":"Mohty","given":"M."},{"family":"Bader","given":"P."}],"issued":{"date-parts":[["2018",2]]}}}],"schema":"https://github.com/citation-style-language/schema/raw/master/csl-citation.json"} </w:instrText>
      </w:r>
      <w:r>
        <w:rPr>
          <w:rFonts w:ascii="Arial" w:hAnsi="Arial" w:cs="Arial"/>
          <w:bCs/>
        </w:rPr>
        <w:fldChar w:fldCharType="separate"/>
      </w:r>
      <w:r w:rsidRPr="00EF6821">
        <w:rPr>
          <w:rFonts w:ascii="Arial" w:hAnsi="Arial" w:cs="Arial"/>
          <w:vertAlign w:val="superscript"/>
          <w:lang w:val="en-US"/>
        </w:rPr>
        <w:t>2,5</w:t>
      </w:r>
      <w:r>
        <w:rPr>
          <w:rFonts w:ascii="Arial" w:hAnsi="Arial" w:cs="Arial"/>
          <w:bCs/>
        </w:rPr>
        <w:fldChar w:fldCharType="end"/>
      </w:r>
      <w:r w:rsidRPr="00BA3910">
        <w:rPr>
          <w:rFonts w:ascii="Arial" w:hAnsi="Arial" w:cs="Arial"/>
          <w:lang w:val="en-GB"/>
        </w:rPr>
        <w:t>. Before HSCT, all patients underwent a grey-scale and Colour-Doppler ultrasound, as well as an LSM evaluation (T0).</w:t>
      </w:r>
      <w:r w:rsidR="00AB318A">
        <w:rPr>
          <w:rFonts w:ascii="Arial" w:hAnsi="Arial" w:cs="Arial"/>
          <w:lang w:val="en-GB"/>
        </w:rPr>
        <w:t xml:space="preserve"> </w:t>
      </w:r>
      <w:r w:rsidRPr="00BA3910">
        <w:rPr>
          <w:rFonts w:ascii="Arial" w:hAnsi="Arial" w:cs="Arial"/>
          <w:lang w:val="en-GB"/>
        </w:rPr>
        <w:t xml:space="preserve">During the follow-up period after HSCT, patients were monitored </w:t>
      </w:r>
      <w:r>
        <w:rPr>
          <w:rFonts w:ascii="Arial" w:hAnsi="Arial" w:cs="Arial"/>
          <w:lang w:val="en-GB"/>
        </w:rPr>
        <w:t>until +</w:t>
      </w:r>
      <w:r w:rsidRPr="00BA3910">
        <w:rPr>
          <w:rFonts w:ascii="Arial" w:hAnsi="Arial" w:cs="Arial"/>
          <w:lang w:val="en-GB"/>
        </w:rPr>
        <w:t>100 day</w:t>
      </w:r>
      <w:r>
        <w:rPr>
          <w:rFonts w:ascii="Arial" w:hAnsi="Arial" w:cs="Arial"/>
          <w:lang w:val="en-GB"/>
        </w:rPr>
        <w:t xml:space="preserve"> for VOD</w:t>
      </w:r>
      <w:r w:rsidR="004F6B1E">
        <w:rPr>
          <w:rFonts w:ascii="Arial" w:hAnsi="Arial" w:cs="Arial"/>
          <w:lang w:val="en-GB"/>
        </w:rPr>
        <w:t>/SOS</w:t>
      </w:r>
      <w:r>
        <w:rPr>
          <w:rFonts w:ascii="Arial" w:hAnsi="Arial" w:cs="Arial"/>
          <w:lang w:val="en-GB"/>
        </w:rPr>
        <w:t xml:space="preserve"> as well as for other complication occ</w:t>
      </w:r>
      <w:r w:rsidR="004F6B1E">
        <w:rPr>
          <w:rFonts w:ascii="Arial" w:hAnsi="Arial" w:cs="Arial"/>
          <w:lang w:val="en-GB"/>
        </w:rPr>
        <w:t>u</w:t>
      </w:r>
      <w:r>
        <w:rPr>
          <w:rFonts w:ascii="Arial" w:hAnsi="Arial" w:cs="Arial"/>
          <w:lang w:val="en-GB"/>
        </w:rPr>
        <w:t>rrence</w:t>
      </w:r>
      <w:r w:rsidR="004F6B1E">
        <w:rPr>
          <w:rFonts w:ascii="Arial" w:hAnsi="Arial" w:cs="Arial"/>
          <w:lang w:val="en-GB"/>
        </w:rPr>
        <w:t>s</w:t>
      </w:r>
      <w:r>
        <w:rPr>
          <w:rFonts w:ascii="Arial" w:hAnsi="Arial" w:cs="Arial"/>
          <w:lang w:val="en-GB"/>
        </w:rPr>
        <w:t xml:space="preserve"> thereafter overall survival data were recorded as well</w:t>
      </w:r>
      <w:r w:rsidR="004F6B1E">
        <w:rPr>
          <w:rFonts w:ascii="Arial" w:hAnsi="Arial" w:cs="Arial"/>
          <w:lang w:val="en-GB"/>
        </w:rPr>
        <w:t>; a</w:t>
      </w:r>
      <w:r w:rsidRPr="00BA3910">
        <w:rPr>
          <w:rFonts w:ascii="Arial" w:hAnsi="Arial" w:cs="Arial"/>
          <w:lang w:val="en-GB"/>
        </w:rPr>
        <w:t>ny complications that occurred during the follow-up were recorded</w:t>
      </w:r>
      <w:r w:rsidR="004F6B1E">
        <w:rPr>
          <w:rFonts w:ascii="Arial" w:hAnsi="Arial" w:cs="Arial"/>
          <w:lang w:val="en-GB"/>
        </w:rPr>
        <w:t>,</w:t>
      </w:r>
      <w:r w:rsidRPr="00BA3910">
        <w:rPr>
          <w:rFonts w:ascii="Arial" w:hAnsi="Arial" w:cs="Arial"/>
          <w:lang w:val="en-GB"/>
        </w:rPr>
        <w:t xml:space="preserve"> and their severity was graded based on the Common Terminology Criteria for Adverse Events (CTC AE) version 4</w:t>
      </w:r>
      <w:r>
        <w:rPr>
          <w:rFonts w:ascii="Arial" w:hAnsi="Arial" w:cs="Arial"/>
          <w:lang w:val="en-GB"/>
        </w:rPr>
        <w:fldChar w:fldCharType="begin"/>
      </w:r>
      <w:r w:rsidR="004F0C0D">
        <w:rPr>
          <w:rFonts w:ascii="Arial" w:hAnsi="Arial" w:cs="Arial"/>
          <w:lang w:val="en-GB"/>
        </w:rPr>
        <w:instrText xml:space="preserve"> ADDIN ZOTERO_ITEM CSL_CITATION {"citationID":"i1YjlBSQ","properties":{"formattedCitation":"\\super 23\\nosupersub{}","plainCitation":"23","noteIndex":0},"citationItems":[{"id":6334,"uris":["http://zotero.org/users/9632340/items/YBU997GZ"],"itemData":{"id":6334,"type":"article-journal","title":"NCI Common Terminology Criteria for Adverse Events (CTCAE) Version 4.","URL":"https://ctep.cancer.gov/protocoldevelopment/electronic_applications/ctc.htm"}}],"schema":"https://github.com/citation-style-language/schema/raw/master/csl-citation.json"} </w:instrText>
      </w:r>
      <w:r>
        <w:rPr>
          <w:rFonts w:ascii="Arial" w:hAnsi="Arial" w:cs="Arial"/>
          <w:lang w:val="en-GB"/>
        </w:rPr>
        <w:fldChar w:fldCharType="separate"/>
      </w:r>
      <w:r w:rsidR="004F0C0D" w:rsidRPr="004F0C0D">
        <w:rPr>
          <w:rFonts w:ascii="Arial" w:hAnsi="Arial" w:cs="Arial"/>
          <w:vertAlign w:val="superscript"/>
          <w:lang w:val="en-US"/>
        </w:rPr>
        <w:t>23</w:t>
      </w:r>
      <w:r>
        <w:rPr>
          <w:rFonts w:ascii="Arial" w:hAnsi="Arial" w:cs="Arial"/>
          <w:lang w:val="en-GB"/>
        </w:rPr>
        <w:fldChar w:fldCharType="end"/>
      </w:r>
      <w:r>
        <w:rPr>
          <w:rFonts w:ascii="Arial" w:hAnsi="Arial" w:cs="Arial"/>
          <w:lang w:val="en-GB"/>
        </w:rPr>
        <w:t>.</w:t>
      </w:r>
      <w:r w:rsidR="00AB318A">
        <w:rPr>
          <w:rFonts w:ascii="Arial" w:hAnsi="Arial" w:cs="Arial"/>
          <w:lang w:val="en-GB"/>
        </w:rPr>
        <w:t xml:space="preserve"> </w:t>
      </w:r>
      <w:r w:rsidR="00AB318A" w:rsidRPr="00AB318A">
        <w:rPr>
          <w:rFonts w:ascii="Arial" w:hAnsi="Arial" w:cs="Arial"/>
          <w:lang w:val="en-GB"/>
        </w:rPr>
        <w:t xml:space="preserve">Study findings were reported based on the </w:t>
      </w:r>
      <w:r w:rsidR="00AB318A">
        <w:rPr>
          <w:rFonts w:ascii="Arial" w:hAnsi="Arial" w:cs="Arial"/>
          <w:lang w:val="en-GB"/>
        </w:rPr>
        <w:t>STARD</w:t>
      </w:r>
      <w:r w:rsidR="00AB318A" w:rsidRPr="00AB318A">
        <w:rPr>
          <w:rFonts w:ascii="Arial" w:hAnsi="Arial" w:cs="Arial"/>
          <w:lang w:val="en-GB"/>
        </w:rPr>
        <w:t xml:space="preserve"> Statement</w:t>
      </w:r>
      <w:r w:rsidR="00AB318A">
        <w:rPr>
          <w:rFonts w:ascii="Arial" w:hAnsi="Arial" w:cs="Arial"/>
          <w:lang w:val="en-GB"/>
        </w:rPr>
        <w:fldChar w:fldCharType="begin"/>
      </w:r>
      <w:r w:rsidR="00AB318A">
        <w:rPr>
          <w:rFonts w:ascii="Arial" w:hAnsi="Arial" w:cs="Arial"/>
          <w:lang w:val="en-GB"/>
        </w:rPr>
        <w:instrText xml:space="preserve"> ADDIN ZOTERO_ITEM CSL_CITATION {"citationID":"zi0V1EA6","properties":{"formattedCitation":"\\super 24\\nosupersub{}","plainCitation":"24","noteIndex":0},"citationItems":[{"id":6196,"uris":["http://zotero.org/users/9632340/items/LZIDGYGC"],"itemData":{"id":6196,"type":"article-journal","container-title":"BMJ (Clinical research ed.)","ISSN":"1756-1833","note":"PMID: 26511519","page":"h5527","title":"STARD 2015: an updated list of essential items for reporting diagnostic accuracy studies.","volume":"351","author":[{"family":"Bossuyt","given":"Patrick M"},{"family":"Reitsma","given":"Johannes B"},{"family":"Bruns","given":"David E"},{"family":"Gatsonis","given":"Constantine A"},{"family":"Glasziou","given":"Paul P"},{"family":"Irwig","given":"Les"},{"family":"Lijmer","given":"Jeroen G"},{"family":"Moher","given":"David"},{"family":"Rennie","given":"Drummond"},{"family":"Vet","given":"Henrica C W","non-dropping-particle":"de"},{"family":"Kressel","given":"Herbert Y"},{"family":"Rifai","given":"Nader"},{"family":"Golub","given":"Robert M"},{"family":"Altman","given":"Douglas G"},{"family":"Hooft","given":"Lotty"},{"family":"Korevaar","given":"Daniël A"},{"family":"Cohen","given":"Jérémie F"},{"literal":"STARD Group"}],"issued":{"date-parts":[["2015",10]]}}}],"schema":"https://github.com/citation-style-language/schema/raw/master/csl-citation.json"} </w:instrText>
      </w:r>
      <w:r w:rsidR="00AB318A">
        <w:rPr>
          <w:rFonts w:ascii="Arial" w:hAnsi="Arial" w:cs="Arial"/>
          <w:lang w:val="en-GB"/>
        </w:rPr>
        <w:fldChar w:fldCharType="separate"/>
      </w:r>
      <w:r w:rsidR="00AB318A" w:rsidRPr="00AB318A">
        <w:rPr>
          <w:rFonts w:ascii="Arial" w:hAnsi="Arial" w:cs="Arial"/>
          <w:vertAlign w:val="superscript"/>
          <w:lang w:val="en-US"/>
        </w:rPr>
        <w:t>24</w:t>
      </w:r>
      <w:r w:rsidR="00AB318A">
        <w:rPr>
          <w:rFonts w:ascii="Arial" w:hAnsi="Arial" w:cs="Arial"/>
          <w:lang w:val="en-GB"/>
        </w:rPr>
        <w:fldChar w:fldCharType="end"/>
      </w:r>
      <w:r w:rsidR="00AB318A">
        <w:rPr>
          <w:rFonts w:ascii="Arial" w:hAnsi="Arial" w:cs="Arial"/>
          <w:lang w:val="en-GB"/>
        </w:rPr>
        <w:t>.</w:t>
      </w:r>
    </w:p>
    <w:p w14:paraId="2D72356C" w14:textId="7527BB1B" w:rsidR="006F5BDC" w:rsidRPr="00BA3910" w:rsidRDefault="006F5BDC" w:rsidP="006F5BDC">
      <w:pPr>
        <w:spacing w:before="240" w:line="360" w:lineRule="auto"/>
        <w:jc w:val="both"/>
        <w:outlineLvl w:val="0"/>
        <w:rPr>
          <w:rFonts w:ascii="Arial" w:hAnsi="Arial" w:cs="Arial"/>
          <w:u w:val="single"/>
          <w:lang w:val="en-GB"/>
        </w:rPr>
      </w:pPr>
      <w:r w:rsidRPr="00BA3910">
        <w:rPr>
          <w:rFonts w:ascii="Arial" w:hAnsi="Arial" w:cs="Arial"/>
          <w:u w:val="single"/>
          <w:lang w:val="en-GB"/>
        </w:rPr>
        <w:t>Liver Stiffness Measurement (LSM)</w:t>
      </w:r>
    </w:p>
    <w:p w14:paraId="262AAC30" w14:textId="29354A6F" w:rsidR="006F5BDC" w:rsidRPr="00BA3910" w:rsidRDefault="006F5BDC" w:rsidP="006F5BDC">
      <w:pPr>
        <w:spacing w:line="360" w:lineRule="auto"/>
        <w:jc w:val="both"/>
        <w:rPr>
          <w:rFonts w:ascii="Arial" w:hAnsi="Arial" w:cs="Arial"/>
          <w:highlight w:val="yellow"/>
          <w:lang w:val="en-GB"/>
        </w:rPr>
      </w:pPr>
      <w:r w:rsidRPr="00BA3910">
        <w:rPr>
          <w:rFonts w:ascii="Arial" w:hAnsi="Arial" w:cs="Arial"/>
          <w:lang w:val="en-GB"/>
        </w:rPr>
        <w:t>The liver stiffness measurement (LSM) was obtained using different elastographic devices and was recorded in kilopascals (kPa) or meter to second (m/sec), depending on the availability of the device at each centre. The ultrasound elastography techniques employed in the study included transient elastography (TE, FibroScan by Echosens, France), point shear wave elastography (p-SWE), and two-dimensional shear wave elastography. Generally, LSM values were measured after 4 hours of fasting, as previously reported</w:t>
      </w:r>
      <w:r>
        <w:rPr>
          <w:rFonts w:ascii="Arial" w:hAnsi="Arial" w:cs="Arial"/>
          <w:lang w:val="en-GB"/>
        </w:rPr>
        <w:fldChar w:fldCharType="begin"/>
      </w:r>
      <w:r w:rsidR="00AB318A">
        <w:rPr>
          <w:rFonts w:ascii="Arial" w:hAnsi="Arial" w:cs="Arial"/>
          <w:lang w:val="en-GB"/>
        </w:rPr>
        <w:instrText xml:space="preserve"> ADDIN ZOTERO_ITEM CSL_CITATION {"citationID":"QvFsH5wj","properties":{"formattedCitation":"\\super 25\\nosupersub{}","plainCitation":"25","noteIndex":0},"citationItems":[{"id":9690,"uris":["http://zotero.org/users/9632340/items/3H9M7N23"],"itemData":{"id":9690,"type":"article-journal","abstract":"Unfortunately, in the first sentence under the section head “Point shear wave elastography”, the transducer name was misspelled as CA541 (rather than CA451). The complete correct sentence is given below: pSWE.ESA examination was performed with a MyLab Twice equipment (Esaote, Genova, Italy) with convex probe CA541.","archive":"Embase","container-title":"Journal of Ultrasound","DOI":"10.1007/s40477-018-0293-6","ISSN":"1876-7931","issue":"2","journalAbbreviation":"J. Ultrasound","language":"English","license":"All rights reserved","page":"169","title":"Correction to: Point shear wave ultrasound elastography with Esaote compared to real-time 2D shear wave elastography with supersonic imagine for the quantification of liver stiffness (Journal of Ultrasound, (2017), 20, 3, (213-225), 10.1007/s40477-017-0260-7)","volume":"21","author":[{"family":"Mulazzani","given":"L."},{"family":"Salvatore","given":"V."},{"family":"Ravaioli","given":"F."},{"family":"Allegretti","given":"G."},{"family":"Matassoni","given":"F."},{"family":"Granata","given":"R."},{"family":"Ferrarini","given":"A."},{"family":"Stefanescu","given":"H."},{"family":"Piscaglia","given":"F."}],"issued":{"date-parts":[["2018"]]}}}],"schema":"https://github.com/citation-style-language/schema/raw/master/csl-citation.json"} </w:instrText>
      </w:r>
      <w:r>
        <w:rPr>
          <w:rFonts w:ascii="Arial" w:hAnsi="Arial" w:cs="Arial"/>
          <w:lang w:val="en-GB"/>
        </w:rPr>
        <w:fldChar w:fldCharType="separate"/>
      </w:r>
      <w:r w:rsidR="00AB318A" w:rsidRPr="00AB318A">
        <w:rPr>
          <w:rFonts w:ascii="Arial" w:hAnsi="Arial" w:cs="Arial"/>
          <w:vertAlign w:val="superscript"/>
          <w:lang w:val="en-US"/>
        </w:rPr>
        <w:t>25</w:t>
      </w:r>
      <w:r>
        <w:rPr>
          <w:rFonts w:ascii="Arial" w:hAnsi="Arial" w:cs="Arial"/>
          <w:lang w:val="en-GB"/>
        </w:rPr>
        <w:fldChar w:fldCharType="end"/>
      </w:r>
      <w:r w:rsidRPr="00BA3910">
        <w:rPr>
          <w:rFonts w:ascii="Arial" w:hAnsi="Arial" w:cs="Arial"/>
          <w:lang w:val="en-GB"/>
        </w:rPr>
        <w:t>. LSM was performed by expert physician operators with experience in ultrasound elastography; the reliability criteria were established following the latest EFSUMB Guidelines and Recommendations on the Clinical Use of Ultrasound Elastography</w:t>
      </w:r>
      <w:r>
        <w:rPr>
          <w:rFonts w:ascii="Arial" w:hAnsi="Arial" w:cs="Arial"/>
          <w:lang w:val="en-GB"/>
        </w:rPr>
        <w:fldChar w:fldCharType="begin"/>
      </w:r>
      <w:r w:rsidR="00AB318A">
        <w:rPr>
          <w:rFonts w:ascii="Arial" w:hAnsi="Arial" w:cs="Arial"/>
          <w:lang w:val="en-GB"/>
        </w:rPr>
        <w:instrText xml:space="preserve"> ADDIN ZOTERO_ITEM CSL_CITATION {"citationID":"VwHr60aj","properties":{"formattedCitation":"\\super 26\\nosupersub{}","plainCitation":"26","noteIndex":0},"citationItems":[{"id":4304,"uris":["http://zotero.org/users/9632340/items/TZEDA7KC"],"itemData":{"id":4304,"type":"article-journal","abstract":"We present here the first update of the 2013 EFSUMB (European Federation of Societies for Ultrasound in Medicine and Biology) Guidelines and Recommendations on the clinical use of elastography, focused on the assessment of diffuse liver disease. The first part (long version) of these Guidelines and Recommendations deals with the basic principles of elastography and provides an update of how the technology has changed. The practical advantages and disadvantages associated with each of the techniques are described, and guidance is provided regarding optimization of scanning technique, image display, image interpretation, reporting of data and some of the known image artefacts. The second part provides clinical information about the practical use of elastography equipment and the interpretation of results in the assessment of diffuse liver disease and analyzes the main findings based on published studies, stressing the evidence from meta-analyses. The role of elastography in different etiologies of liver disease and in several clinical scenarios is also discussed. All of the recommendations are judged with regard to their evidence-based strength according to the Oxford Centre for Evidence-Based Medicine Levels of Evidence. This updated document is intended to act as a reference and to provide a practical guide for both beginners and advanced clinical users.","container-title":"Ultraschall in der Medizin - European Journal of Ultrasound","DOI":"10.1055/s-0043-103952","ISSN":"0172-4614","note":"PMID: 28407655","title":"EFSUMB Guidelines and Recommendations on the Clinical Use of Liver Ultrasound Elastography, Update 2017 (Long Version)","author":[{"family":"Dietrich","given":"Christoph"},{"family":"Bamber","given":"Jeffrey"},{"family":"Berzigotti","given":"Annalisa"},{"family":"Bota","given":"Simona"},{"family":"Cantisani","given":"Vito"},{"family":"Castera","given":"Laurent"},{"family":"Cosgrove","given":"David"},{"family":"Ferraioli","given":"Giovanna"},{"family":"Friedrich-Rust","given":"Mireen"},{"family":"Gilja","given":"Odd"},{"family":"Goertz","given":"Ruediger"},{"family":"Karlas","given":"Thomas"},{"family":"Knegt","given":"Robert","non-dropping-particle":"de"},{"family":"Ledinghen","given":"Victor","non-dropping-particle":"de"},{"family":"Piscaglia","given":"Fabio"},{"family":"Procopet","given":"Bogdan"},{"family":"Saftoiu","given":"Adrian"},{"family":"Sidhu","given":"Paul"},{"family":"Sporea","given":"Ioan"},{"family":"Thiele","given":"Maja"}],"issued":{"date-parts":[["2017",4]]}}}],"schema":"https://github.com/citation-style-language/schema/raw/master/csl-citation.json"} </w:instrText>
      </w:r>
      <w:r>
        <w:rPr>
          <w:rFonts w:ascii="Arial" w:hAnsi="Arial" w:cs="Arial"/>
          <w:lang w:val="en-GB"/>
        </w:rPr>
        <w:fldChar w:fldCharType="separate"/>
      </w:r>
      <w:r w:rsidR="00AB318A" w:rsidRPr="00AB318A">
        <w:rPr>
          <w:rFonts w:ascii="Arial" w:hAnsi="Arial" w:cs="Arial"/>
          <w:vertAlign w:val="superscript"/>
          <w:lang w:val="en-US"/>
        </w:rPr>
        <w:t>26</w:t>
      </w:r>
      <w:r>
        <w:rPr>
          <w:rFonts w:ascii="Arial" w:hAnsi="Arial" w:cs="Arial"/>
          <w:lang w:val="en-GB"/>
        </w:rPr>
        <w:fldChar w:fldCharType="end"/>
      </w:r>
      <w:r w:rsidRPr="00BA3910">
        <w:rPr>
          <w:rFonts w:ascii="Arial" w:hAnsi="Arial" w:cs="Arial"/>
          <w:lang w:val="en-GB"/>
        </w:rPr>
        <w:t xml:space="preserve">. The </w:t>
      </w:r>
      <w:commentRangeStart w:id="2"/>
      <w:r w:rsidRPr="00BA3910">
        <w:rPr>
          <w:rFonts w:ascii="Arial" w:hAnsi="Arial" w:cs="Arial"/>
          <w:highlight w:val="magenta"/>
          <w:lang w:val="en-GB"/>
        </w:rPr>
        <w:t>appendix</w:t>
      </w:r>
      <w:r w:rsidRPr="00BA3910">
        <w:rPr>
          <w:rFonts w:ascii="Arial" w:hAnsi="Arial" w:cs="Arial"/>
          <w:lang w:val="en-GB"/>
        </w:rPr>
        <w:t xml:space="preserve"> </w:t>
      </w:r>
      <w:commentRangeEnd w:id="2"/>
      <w:r w:rsidRPr="00BA3910">
        <w:rPr>
          <w:rStyle w:val="Rimandocommento"/>
          <w:rFonts w:asciiTheme="minorHAnsi" w:eastAsiaTheme="minorHAnsi" w:hAnsiTheme="minorHAnsi" w:cstheme="minorBidi"/>
          <w:lang w:val="en-GB" w:eastAsia="en-US"/>
        </w:rPr>
        <w:commentReference w:id="2"/>
      </w:r>
      <w:r w:rsidRPr="00BA3910">
        <w:rPr>
          <w:rFonts w:ascii="Arial" w:hAnsi="Arial" w:cs="Arial"/>
          <w:lang w:val="en-GB"/>
        </w:rPr>
        <w:t>provided a detailed report on the specific devices utili</w:t>
      </w:r>
      <w:r w:rsidR="004F6B1E">
        <w:rPr>
          <w:rFonts w:ascii="Arial" w:hAnsi="Arial" w:cs="Arial"/>
          <w:lang w:val="en-GB"/>
        </w:rPr>
        <w:t>s</w:t>
      </w:r>
      <w:r w:rsidRPr="00BA3910">
        <w:rPr>
          <w:rFonts w:ascii="Arial" w:hAnsi="Arial" w:cs="Arial"/>
          <w:lang w:val="en-GB"/>
        </w:rPr>
        <w:t>ed and the operators responsible for performing LSM at each centre.</w:t>
      </w:r>
      <w:r w:rsidRPr="004C7FDA">
        <w:rPr>
          <w:rFonts w:ascii="Arial" w:hAnsi="Arial" w:cs="Arial"/>
          <w:lang w:val="en-GB"/>
        </w:rPr>
        <w:t xml:space="preserve"> LSM assessments were performed at pre-HSCT (T0) and according to the protocol by means of a dense schedule on days +9/10 (T1), +15/17 (T2) and +22/24 (T3) after HSCT. </w:t>
      </w:r>
      <w:r w:rsidRPr="00BA3910">
        <w:rPr>
          <w:rFonts w:ascii="Arial" w:hAnsi="Arial" w:cs="Arial"/>
          <w:lang w:val="en-GB"/>
        </w:rPr>
        <w:t>In the presence of clinical suspicion of VOD/SOS during the time between two scheduled evaluations, additional LSM evaluations were conducted. If VOD/SOS was diagnosed, LSM was repeated, and weekly evaluations were carried out until there was either clinical resolution or progression.</w:t>
      </w:r>
    </w:p>
    <w:p w14:paraId="00500497" w14:textId="77777777" w:rsidR="0094447F" w:rsidRPr="006F5BDC" w:rsidRDefault="0094447F" w:rsidP="00C17160">
      <w:pPr>
        <w:spacing w:line="360" w:lineRule="auto"/>
        <w:jc w:val="both"/>
        <w:outlineLvl w:val="0"/>
        <w:rPr>
          <w:rFonts w:ascii="Arial" w:hAnsi="Arial" w:cs="Arial"/>
          <w:u w:val="single"/>
          <w:lang w:val="en-GB"/>
        </w:rPr>
      </w:pPr>
    </w:p>
    <w:p w14:paraId="689EF4A4" w14:textId="4695EA72" w:rsidR="006B75BD" w:rsidRPr="00BA3910" w:rsidRDefault="006B75BD" w:rsidP="00C17160">
      <w:pPr>
        <w:spacing w:line="360" w:lineRule="auto"/>
        <w:jc w:val="both"/>
        <w:outlineLvl w:val="0"/>
        <w:rPr>
          <w:rFonts w:ascii="Arial" w:hAnsi="Arial" w:cs="Arial"/>
          <w:u w:val="single"/>
          <w:lang w:val="en-GB"/>
        </w:rPr>
      </w:pPr>
      <w:r w:rsidRPr="00BA3910">
        <w:rPr>
          <w:rFonts w:ascii="Arial" w:hAnsi="Arial" w:cs="Arial"/>
          <w:u w:val="single"/>
          <w:lang w:val="en-GB"/>
        </w:rPr>
        <w:t>Outcomes:</w:t>
      </w:r>
    </w:p>
    <w:p w14:paraId="351C3516" w14:textId="3BE3EDEE" w:rsidR="006B75BD" w:rsidRPr="00BA3910" w:rsidRDefault="008A07C5" w:rsidP="006B75BD">
      <w:pPr>
        <w:spacing w:line="360" w:lineRule="auto"/>
        <w:jc w:val="both"/>
        <w:rPr>
          <w:rFonts w:ascii="Arial" w:hAnsi="Arial" w:cs="Arial"/>
          <w:color w:val="000000"/>
          <w:szCs w:val="32"/>
          <w:lang w:val="en-GB"/>
        </w:rPr>
      </w:pPr>
      <w:r w:rsidRPr="00BA3910">
        <w:rPr>
          <w:rFonts w:ascii="Arial" w:hAnsi="Arial" w:cs="Arial"/>
          <w:color w:val="000000"/>
          <w:szCs w:val="32"/>
          <w:lang w:val="en-GB"/>
        </w:rPr>
        <w:t xml:space="preserve">The </w:t>
      </w:r>
      <w:r w:rsidR="00E733DD" w:rsidRPr="00BA3910">
        <w:rPr>
          <w:rFonts w:ascii="Arial" w:hAnsi="Arial" w:cs="Arial"/>
          <w:color w:val="000000"/>
          <w:szCs w:val="32"/>
          <w:lang w:val="en-GB"/>
        </w:rPr>
        <w:t>study's primary endpoint was to evaluate the diagnostic role of liver stiffness measurement (LSM) in diagnosing</w:t>
      </w:r>
      <w:r w:rsidRPr="00BA3910">
        <w:rPr>
          <w:rFonts w:ascii="Arial" w:hAnsi="Arial" w:cs="Arial"/>
          <w:color w:val="000000"/>
          <w:szCs w:val="32"/>
          <w:lang w:val="en-GB"/>
        </w:rPr>
        <w:t xml:space="preserve"> </w:t>
      </w:r>
      <w:r w:rsidR="000D1ED3" w:rsidRPr="00BA3910">
        <w:rPr>
          <w:rFonts w:ascii="Arial" w:hAnsi="Arial" w:cs="Arial"/>
          <w:color w:val="000000"/>
          <w:szCs w:val="32"/>
          <w:lang w:val="en-GB"/>
        </w:rPr>
        <w:t>VOD/SOS</w:t>
      </w:r>
      <w:r w:rsidRPr="00BA3910">
        <w:rPr>
          <w:rFonts w:ascii="Arial" w:hAnsi="Arial" w:cs="Arial"/>
          <w:color w:val="000000"/>
          <w:szCs w:val="32"/>
          <w:lang w:val="en-GB"/>
        </w:rPr>
        <w:t xml:space="preserve"> after </w:t>
      </w:r>
      <w:r w:rsidR="00F64ADD" w:rsidRPr="00BA3910">
        <w:rPr>
          <w:rFonts w:ascii="Arial" w:hAnsi="Arial" w:cs="Arial"/>
          <w:color w:val="000000"/>
          <w:szCs w:val="32"/>
          <w:lang w:val="en-GB"/>
        </w:rPr>
        <w:t>HSCT</w:t>
      </w:r>
      <w:r w:rsidRPr="00BA3910">
        <w:rPr>
          <w:rFonts w:ascii="Arial" w:hAnsi="Arial" w:cs="Arial"/>
          <w:color w:val="000000"/>
          <w:szCs w:val="32"/>
          <w:lang w:val="en-GB"/>
        </w:rPr>
        <w:t xml:space="preserve">. </w:t>
      </w:r>
    </w:p>
    <w:p w14:paraId="627C1CD7" w14:textId="041F98F3" w:rsidR="00E95E41" w:rsidRPr="00BA3910" w:rsidRDefault="006B75BD" w:rsidP="006B75BD">
      <w:pPr>
        <w:spacing w:line="360" w:lineRule="auto"/>
        <w:jc w:val="both"/>
        <w:rPr>
          <w:rFonts w:ascii="Arial" w:hAnsi="Arial" w:cs="Arial"/>
          <w:color w:val="000000"/>
          <w:szCs w:val="32"/>
          <w:lang w:val="en-GB"/>
        </w:rPr>
      </w:pPr>
      <w:r w:rsidRPr="00BA3910">
        <w:rPr>
          <w:rFonts w:ascii="Arial" w:hAnsi="Arial" w:cs="Arial"/>
          <w:color w:val="000000"/>
          <w:szCs w:val="32"/>
          <w:lang w:val="en-GB"/>
        </w:rPr>
        <w:t>Secondary endpoints included</w:t>
      </w:r>
      <w:r w:rsidR="008A07C5" w:rsidRPr="00BA3910">
        <w:rPr>
          <w:rFonts w:ascii="Arial" w:hAnsi="Arial" w:cs="Arial"/>
          <w:color w:val="000000"/>
          <w:szCs w:val="32"/>
          <w:lang w:val="en-GB"/>
        </w:rPr>
        <w:t xml:space="preserve"> i) </w:t>
      </w:r>
      <w:r w:rsidR="007F3865" w:rsidRPr="00BA3910">
        <w:rPr>
          <w:rFonts w:ascii="Arial" w:hAnsi="Arial" w:cs="Arial"/>
          <w:color w:val="000000"/>
          <w:szCs w:val="32"/>
          <w:lang w:val="en-GB"/>
        </w:rPr>
        <w:t xml:space="preserve">determining the incidence, characteristics, treatment, and evolution of </w:t>
      </w:r>
      <w:r w:rsidR="000D1ED3" w:rsidRPr="00BA3910">
        <w:rPr>
          <w:rFonts w:ascii="Arial" w:hAnsi="Arial" w:cs="Arial"/>
          <w:color w:val="000000"/>
          <w:szCs w:val="32"/>
          <w:lang w:val="en-GB"/>
        </w:rPr>
        <w:t>VOD/SOS</w:t>
      </w:r>
      <w:r w:rsidR="007F3865" w:rsidRPr="00BA3910">
        <w:rPr>
          <w:rFonts w:ascii="Arial" w:hAnsi="Arial" w:cs="Arial"/>
          <w:color w:val="000000"/>
          <w:szCs w:val="32"/>
          <w:lang w:val="en-GB"/>
        </w:rPr>
        <w:t xml:space="preserve"> in a</w:t>
      </w:r>
      <w:r w:rsidR="000304A7" w:rsidRPr="00BA3910">
        <w:rPr>
          <w:rFonts w:ascii="Arial" w:hAnsi="Arial" w:cs="Arial"/>
          <w:color w:val="000000"/>
          <w:szCs w:val="32"/>
          <w:lang w:val="en-GB"/>
        </w:rPr>
        <w:t>n</w:t>
      </w:r>
      <w:r w:rsidR="007F3865" w:rsidRPr="00BA3910">
        <w:rPr>
          <w:rFonts w:ascii="Arial" w:hAnsi="Arial" w:cs="Arial"/>
          <w:color w:val="000000"/>
          <w:szCs w:val="32"/>
          <w:lang w:val="en-GB"/>
        </w:rPr>
        <w:t xml:space="preserve"> actual real-world cohort</w:t>
      </w:r>
      <w:r w:rsidR="008A07C5" w:rsidRPr="00BA3910">
        <w:rPr>
          <w:rFonts w:ascii="Arial" w:hAnsi="Arial" w:cs="Arial"/>
          <w:color w:val="000000"/>
          <w:szCs w:val="32"/>
          <w:lang w:val="en-GB"/>
        </w:rPr>
        <w:t xml:space="preserve">, ii) </w:t>
      </w:r>
      <w:r w:rsidR="000304A7" w:rsidRPr="00BA3910">
        <w:rPr>
          <w:rFonts w:ascii="Arial" w:hAnsi="Arial" w:cs="Arial"/>
          <w:color w:val="000000"/>
          <w:szCs w:val="32"/>
          <w:lang w:val="en-GB"/>
        </w:rPr>
        <w:t xml:space="preserve">identifying the predictive factors associated with the occurrence of </w:t>
      </w:r>
      <w:r w:rsidR="000D1ED3" w:rsidRPr="00BA3910">
        <w:rPr>
          <w:rFonts w:ascii="Arial" w:hAnsi="Arial" w:cs="Arial"/>
          <w:color w:val="000000"/>
          <w:szCs w:val="32"/>
          <w:lang w:val="en-GB"/>
        </w:rPr>
        <w:t>VOD/SOS</w:t>
      </w:r>
      <w:r w:rsidR="008A07C5" w:rsidRPr="00BA3910">
        <w:rPr>
          <w:rFonts w:ascii="Arial" w:hAnsi="Arial" w:cs="Arial"/>
          <w:color w:val="000000"/>
          <w:szCs w:val="32"/>
          <w:lang w:val="en-GB"/>
        </w:rPr>
        <w:t>, i</w:t>
      </w:r>
      <w:r w:rsidRPr="00BA3910">
        <w:rPr>
          <w:rFonts w:ascii="Arial" w:hAnsi="Arial" w:cs="Arial"/>
          <w:color w:val="000000"/>
          <w:szCs w:val="32"/>
          <w:lang w:val="en-GB"/>
        </w:rPr>
        <w:t xml:space="preserve">ii) </w:t>
      </w:r>
      <w:r w:rsidR="000304A7" w:rsidRPr="00BA3910">
        <w:rPr>
          <w:rFonts w:ascii="Arial" w:hAnsi="Arial" w:cs="Arial"/>
          <w:color w:val="000000"/>
          <w:szCs w:val="32"/>
          <w:lang w:val="en-GB"/>
        </w:rPr>
        <w:t xml:space="preserve">exploring the role of LSM in stratifying the severity of </w:t>
      </w:r>
      <w:r w:rsidR="000D1ED3" w:rsidRPr="00BA3910">
        <w:rPr>
          <w:rFonts w:ascii="Arial" w:hAnsi="Arial" w:cs="Arial"/>
          <w:color w:val="000000"/>
          <w:szCs w:val="32"/>
          <w:lang w:val="en-GB"/>
        </w:rPr>
        <w:t>VOD/SOS</w:t>
      </w:r>
      <w:r w:rsidR="000304A7" w:rsidRPr="00BA3910">
        <w:rPr>
          <w:rFonts w:ascii="Arial" w:hAnsi="Arial" w:cs="Arial"/>
          <w:color w:val="000000"/>
          <w:szCs w:val="32"/>
          <w:lang w:val="en-GB"/>
        </w:rPr>
        <w:t xml:space="preserve"> and in managing follow-up,</w:t>
      </w:r>
      <w:r w:rsidR="002A18AB" w:rsidRPr="00BA3910">
        <w:rPr>
          <w:rFonts w:ascii="Arial" w:hAnsi="Arial" w:cs="Arial"/>
          <w:color w:val="000000"/>
          <w:szCs w:val="32"/>
          <w:lang w:val="en-GB"/>
        </w:rPr>
        <w:t xml:space="preserve"> and</w:t>
      </w:r>
      <w:r w:rsidR="000304A7" w:rsidRPr="00BA3910">
        <w:rPr>
          <w:rFonts w:ascii="Arial" w:hAnsi="Arial" w:cs="Arial"/>
          <w:color w:val="000000"/>
          <w:szCs w:val="32"/>
          <w:lang w:val="en-GB"/>
        </w:rPr>
        <w:t xml:space="preserve"> </w:t>
      </w:r>
      <w:r w:rsidR="00C130E8" w:rsidRPr="00BA3910">
        <w:rPr>
          <w:rFonts w:ascii="Arial" w:hAnsi="Arial" w:cs="Arial"/>
          <w:color w:val="000000"/>
          <w:szCs w:val="32"/>
          <w:lang w:val="en-GB"/>
        </w:rPr>
        <w:t>iv</w:t>
      </w:r>
      <w:r w:rsidRPr="00BA3910">
        <w:rPr>
          <w:rFonts w:ascii="Arial" w:hAnsi="Arial" w:cs="Arial"/>
          <w:color w:val="000000"/>
          <w:szCs w:val="32"/>
          <w:lang w:val="en-GB"/>
        </w:rPr>
        <w:t>)</w:t>
      </w:r>
      <w:r w:rsidR="00C130E8" w:rsidRPr="00BA3910">
        <w:rPr>
          <w:rFonts w:ascii="Arial" w:hAnsi="Arial" w:cs="Arial"/>
          <w:color w:val="000000"/>
          <w:szCs w:val="32"/>
          <w:lang w:val="en-GB"/>
        </w:rPr>
        <w:t xml:space="preserve"> </w:t>
      </w:r>
      <w:r w:rsidR="000304A7" w:rsidRPr="00BA3910">
        <w:rPr>
          <w:rFonts w:ascii="Arial" w:hAnsi="Arial" w:cs="Arial"/>
          <w:color w:val="000000"/>
          <w:szCs w:val="32"/>
          <w:lang w:val="en-GB"/>
        </w:rPr>
        <w:t xml:space="preserve">investigating how LSM can be used in the differential diagnosis of </w:t>
      </w:r>
      <w:r w:rsidR="007B47AB">
        <w:rPr>
          <w:rFonts w:ascii="Arial" w:hAnsi="Arial" w:cs="Arial"/>
          <w:color w:val="000000"/>
          <w:szCs w:val="32"/>
          <w:lang w:val="en-GB"/>
        </w:rPr>
        <w:t>VOD/SOS</w:t>
      </w:r>
      <w:r w:rsidR="000304A7" w:rsidRPr="00BA3910">
        <w:rPr>
          <w:rFonts w:ascii="Arial" w:hAnsi="Arial" w:cs="Arial"/>
          <w:color w:val="000000"/>
          <w:szCs w:val="32"/>
          <w:lang w:val="en-GB"/>
        </w:rPr>
        <w:t xml:space="preserve"> and other liver-related </w:t>
      </w:r>
      <w:r w:rsidR="00F64ADD" w:rsidRPr="00BA3910">
        <w:rPr>
          <w:rFonts w:ascii="Arial" w:hAnsi="Arial" w:cs="Arial"/>
          <w:color w:val="000000"/>
          <w:szCs w:val="32"/>
          <w:lang w:val="en-GB"/>
        </w:rPr>
        <w:t>HSCT</w:t>
      </w:r>
      <w:r w:rsidR="000304A7" w:rsidRPr="00BA3910">
        <w:rPr>
          <w:rFonts w:ascii="Arial" w:hAnsi="Arial" w:cs="Arial"/>
          <w:color w:val="000000"/>
          <w:szCs w:val="32"/>
          <w:lang w:val="en-GB"/>
        </w:rPr>
        <w:t xml:space="preserve"> complications</w:t>
      </w:r>
      <w:r w:rsidR="00D95087">
        <w:rPr>
          <w:rFonts w:ascii="Arial" w:hAnsi="Arial" w:cs="Arial"/>
          <w:color w:val="000000"/>
          <w:szCs w:val="32"/>
          <w:lang w:val="en-GB"/>
        </w:rPr>
        <w:t xml:space="preserve"> </w:t>
      </w:r>
      <w:r w:rsidR="006F5BDC">
        <w:rPr>
          <w:rFonts w:ascii="Arial" w:hAnsi="Arial" w:cs="Arial"/>
          <w:color w:val="000000"/>
          <w:szCs w:val="32"/>
          <w:lang w:val="en-GB"/>
        </w:rPr>
        <w:t>occurred within day +100</w:t>
      </w:r>
      <w:r w:rsidR="002A18AB" w:rsidRPr="00BA3910">
        <w:rPr>
          <w:rFonts w:ascii="Arial" w:hAnsi="Arial" w:cs="Arial"/>
          <w:color w:val="000000"/>
          <w:szCs w:val="32"/>
          <w:lang w:val="en-GB"/>
        </w:rPr>
        <w:t>.</w:t>
      </w:r>
    </w:p>
    <w:p w14:paraId="73E3E577" w14:textId="77777777" w:rsidR="00A37FE8" w:rsidRPr="00BA3910" w:rsidRDefault="00A37FE8" w:rsidP="00CA1AA0">
      <w:pPr>
        <w:spacing w:before="240" w:line="360" w:lineRule="auto"/>
        <w:jc w:val="both"/>
        <w:rPr>
          <w:rFonts w:ascii="Arial" w:hAnsi="Arial" w:cs="Arial"/>
          <w:u w:val="single"/>
          <w:lang w:val="en-GB"/>
        </w:rPr>
      </w:pPr>
      <w:r w:rsidRPr="00BA3910">
        <w:rPr>
          <w:rFonts w:ascii="Arial" w:hAnsi="Arial" w:cs="Arial"/>
          <w:u w:val="single"/>
          <w:lang w:val="en-GB"/>
        </w:rPr>
        <w:t>Data collection and quality assessment</w:t>
      </w:r>
    </w:p>
    <w:p w14:paraId="6ACBC158" w14:textId="149A2554" w:rsidR="00AB318A" w:rsidRPr="00DF3A50" w:rsidRDefault="008675A1" w:rsidP="00DF3A50">
      <w:pPr>
        <w:spacing w:after="120" w:line="360" w:lineRule="auto"/>
        <w:jc w:val="both"/>
        <w:rPr>
          <w:rFonts w:ascii="Arial" w:hAnsi="Arial" w:cs="Arial"/>
          <w:lang w:val="en-GB"/>
        </w:rPr>
      </w:pPr>
      <w:r w:rsidRPr="00BA3910">
        <w:rPr>
          <w:rFonts w:ascii="Arial" w:hAnsi="Arial" w:cs="Arial"/>
          <w:lang w:val="en-GB"/>
        </w:rPr>
        <w:t>Study data were collected and managed using REDCap electronic data capture tool</w:t>
      </w:r>
      <w:r w:rsidRPr="00EA2DD4">
        <w:rPr>
          <w:rFonts w:ascii="Arial" w:hAnsi="Arial" w:cs="Arial"/>
          <w:lang w:val="en-GB"/>
        </w:rPr>
        <w:t>s</w:t>
      </w:r>
      <w:r w:rsidR="00CF37A1" w:rsidRPr="00EA2DD4">
        <w:rPr>
          <w:rFonts w:ascii="Arial" w:hAnsi="Arial" w:cs="Arial"/>
          <w:lang w:val="en-GB"/>
        </w:rPr>
        <w:fldChar w:fldCharType="begin"/>
      </w:r>
      <w:r w:rsidR="00AB318A">
        <w:rPr>
          <w:rFonts w:ascii="Arial" w:hAnsi="Arial" w:cs="Arial"/>
          <w:lang w:val="en-GB"/>
        </w:rPr>
        <w:instrText xml:space="preserve"> ADDIN ZOTERO_ITEM CSL_CITATION {"citationID":"Il5b0uAE","properties":{"formattedCitation":"\\super 27\\nosupersub{}","plainCitation":"27","noteIndex":0},"citationItems":[{"id":10236,"uris":["http://zotero.org/users/9632340/items/LENL3J6L"],"itemData":{"id":10236,"type":"article-journal","container-title":"Journal of Biomedical Informatics","DOI":"10.1016/j.jbi.2019.103208","ISSN":"15320464","journalAbbreviation":"Journal of Biomedical Informatics","language":"en","page":"103208","source":"DOI.org (Crossref)","title":"The REDCap consortium: Building an international community of software platform partners","title-short":"The REDCap consortium","volume":"95","author":[{"family":"Harris","given":"Paul A."},{"family":"Taylor","given":"Robert"},{"family":"Minor","given":"Brenda L."},{"family":"Elliott","given":"Veida"},{"family":"Fernandez","given":"Michelle"},{"family":"O'Neal","given":"Lindsay"},{"family":"McLeod","given":"Laura"},{"family":"Delacqua","given":"Giovanni"},{"family":"Delacqua","given":"Francesco"},{"family":"Kirby","given":"Jacqueline"},{"family":"Duda","given":"Stephany N."}],"issued":{"date-parts":[["2019",7]]}}}],"schema":"https://github.com/citation-style-language/schema/raw/master/csl-citation.json"} </w:instrText>
      </w:r>
      <w:r w:rsidR="00CF37A1" w:rsidRPr="00EA2DD4">
        <w:rPr>
          <w:rFonts w:ascii="Arial" w:hAnsi="Arial" w:cs="Arial"/>
          <w:lang w:val="en-GB"/>
        </w:rPr>
        <w:fldChar w:fldCharType="separate"/>
      </w:r>
      <w:r w:rsidR="00AB318A" w:rsidRPr="00AB318A">
        <w:rPr>
          <w:rFonts w:ascii="Arial" w:hAnsi="Arial" w:cs="Arial"/>
          <w:vertAlign w:val="superscript"/>
          <w:lang w:val="en-US"/>
        </w:rPr>
        <w:t>27</w:t>
      </w:r>
      <w:r w:rsidR="00CF37A1" w:rsidRPr="00EA2DD4">
        <w:rPr>
          <w:rFonts w:ascii="Arial" w:hAnsi="Arial" w:cs="Arial"/>
          <w:lang w:val="en-GB"/>
        </w:rPr>
        <w:fldChar w:fldCharType="end"/>
      </w:r>
      <w:r w:rsidR="009C39A4" w:rsidRPr="00EA2DD4">
        <w:rPr>
          <w:rFonts w:ascii="Arial" w:hAnsi="Arial" w:cs="Arial"/>
          <w:lang w:val="en-GB"/>
        </w:rPr>
        <w:t>.</w:t>
      </w:r>
      <w:r w:rsidRPr="00BA3910">
        <w:rPr>
          <w:rFonts w:ascii="Arial" w:hAnsi="Arial" w:cs="Arial"/>
          <w:lang w:val="en-GB"/>
        </w:rPr>
        <w:t xml:space="preserve">  Upon the conclusion of the </w:t>
      </w:r>
      <w:r w:rsidR="00C52762" w:rsidRPr="00BA3910">
        <w:rPr>
          <w:rFonts w:ascii="Arial" w:hAnsi="Arial" w:cs="Arial"/>
          <w:lang w:val="en-GB"/>
        </w:rPr>
        <w:t>enrolment</w:t>
      </w:r>
      <w:r w:rsidRPr="00BA3910">
        <w:rPr>
          <w:rFonts w:ascii="Arial" w:hAnsi="Arial" w:cs="Arial"/>
          <w:lang w:val="en-GB"/>
        </w:rPr>
        <w:t xml:space="preserve"> phase and follow-up, a data quality evaluation was conducted through the utili</w:t>
      </w:r>
      <w:r w:rsidR="00EA2DD4">
        <w:rPr>
          <w:rFonts w:ascii="Arial" w:hAnsi="Arial" w:cs="Arial"/>
          <w:lang w:val="en-GB"/>
        </w:rPr>
        <w:t>s</w:t>
      </w:r>
      <w:r w:rsidRPr="00BA3910">
        <w:rPr>
          <w:rFonts w:ascii="Arial" w:hAnsi="Arial" w:cs="Arial"/>
          <w:lang w:val="en-GB"/>
        </w:rPr>
        <w:t>ation of the REDCap quality module</w:t>
      </w:r>
      <w:r w:rsidR="006B35A0" w:rsidRPr="00BA3910">
        <w:rPr>
          <w:rFonts w:ascii="Arial" w:hAnsi="Arial" w:cs="Arial"/>
          <w:lang w:val="en-GB"/>
        </w:rPr>
        <w:t xml:space="preserve"> to avoid data </w:t>
      </w:r>
      <w:r w:rsidR="00CA1AA0" w:rsidRPr="00BA3910">
        <w:rPr>
          <w:rFonts w:ascii="Arial" w:hAnsi="Arial" w:cs="Arial"/>
          <w:lang w:val="en-GB"/>
        </w:rPr>
        <w:t>inconsistencies</w:t>
      </w:r>
      <w:r w:rsidR="006B35A0" w:rsidRPr="00BA3910">
        <w:rPr>
          <w:rFonts w:ascii="Arial" w:hAnsi="Arial" w:cs="Arial"/>
          <w:lang w:val="en-GB"/>
        </w:rPr>
        <w:t xml:space="preserve"> and ensure high precision and thoroughness data quality with </w:t>
      </w:r>
      <w:r w:rsidR="00EA2DD4">
        <w:rPr>
          <w:rFonts w:ascii="Arial" w:hAnsi="Arial" w:cs="Arial"/>
          <w:lang w:val="en-GB"/>
        </w:rPr>
        <w:t>a specific focus on</w:t>
      </w:r>
      <w:r w:rsidR="006B35A0" w:rsidRPr="00BA3910">
        <w:rPr>
          <w:rFonts w:ascii="Arial" w:hAnsi="Arial" w:cs="Arial"/>
          <w:lang w:val="en-GB"/>
        </w:rPr>
        <w:t xml:space="preserve"> </w:t>
      </w:r>
      <w:r w:rsidR="00C416FA" w:rsidRPr="00BA3910">
        <w:rPr>
          <w:rFonts w:ascii="Arial" w:hAnsi="Arial" w:cs="Arial"/>
          <w:lang w:val="en-GB"/>
        </w:rPr>
        <w:t xml:space="preserve">LSM evaluations, patient and transplant characteristics, </w:t>
      </w:r>
      <w:r w:rsidR="000D1ED3" w:rsidRPr="00BA3910">
        <w:rPr>
          <w:rFonts w:ascii="Arial" w:hAnsi="Arial" w:cs="Arial"/>
          <w:lang w:val="en-GB"/>
        </w:rPr>
        <w:t>VOD/SOS</w:t>
      </w:r>
      <w:r w:rsidR="00C416FA" w:rsidRPr="00BA3910">
        <w:rPr>
          <w:rFonts w:ascii="Arial" w:hAnsi="Arial" w:cs="Arial"/>
          <w:lang w:val="en-GB"/>
        </w:rPr>
        <w:t xml:space="preserve"> diagnosis and characteristics, and outcomes. </w:t>
      </w:r>
      <w:r w:rsidR="006638FC" w:rsidRPr="00BA3910">
        <w:rPr>
          <w:rFonts w:ascii="Arial" w:hAnsi="Arial" w:cs="Arial"/>
          <w:lang w:val="en-GB"/>
        </w:rPr>
        <w:t xml:space="preserve">We have included the selection process in the </w:t>
      </w:r>
      <w:r w:rsidR="006638FC" w:rsidRPr="00BA3910">
        <w:rPr>
          <w:rFonts w:ascii="Arial" w:hAnsi="Arial" w:cs="Arial"/>
          <w:highlight w:val="magenta"/>
          <w:lang w:val="en-GB"/>
        </w:rPr>
        <w:t>appendix</w:t>
      </w:r>
      <w:r w:rsidR="006638FC" w:rsidRPr="00BA3910">
        <w:rPr>
          <w:rFonts w:ascii="Arial" w:hAnsi="Arial" w:cs="Arial"/>
          <w:lang w:val="en-GB"/>
        </w:rPr>
        <w:t xml:space="preserve">, which outlines the number of patients </w:t>
      </w:r>
      <w:r w:rsidR="004C7FDA">
        <w:rPr>
          <w:rFonts w:ascii="Arial" w:hAnsi="Arial" w:cs="Arial"/>
          <w:lang w:val="en-GB"/>
        </w:rPr>
        <w:t xml:space="preserve">for </w:t>
      </w:r>
      <w:r w:rsidR="006638FC" w:rsidRPr="00BA3910">
        <w:rPr>
          <w:rFonts w:ascii="Arial" w:hAnsi="Arial" w:cs="Arial"/>
          <w:lang w:val="en-GB"/>
        </w:rPr>
        <w:t xml:space="preserve">each centre and the reasons for screening failure. </w:t>
      </w:r>
      <w:r w:rsidR="00090534" w:rsidRPr="00BA3910">
        <w:rPr>
          <w:rFonts w:ascii="Arial" w:hAnsi="Arial" w:cs="Arial"/>
          <w:lang w:val="en-GB"/>
        </w:rPr>
        <w:t xml:space="preserve">Incidence, characteristics, treatment, and evolution of </w:t>
      </w:r>
      <w:r w:rsidR="000D1ED3" w:rsidRPr="00BA3910">
        <w:rPr>
          <w:rFonts w:ascii="Arial" w:hAnsi="Arial" w:cs="Arial"/>
          <w:lang w:val="en-GB"/>
        </w:rPr>
        <w:t>VOD/SOS</w:t>
      </w:r>
      <w:r w:rsidR="00090534" w:rsidRPr="00BA3910">
        <w:rPr>
          <w:rFonts w:ascii="Arial" w:hAnsi="Arial" w:cs="Arial"/>
          <w:lang w:val="en-GB"/>
        </w:rPr>
        <w:t xml:space="preserve"> were assessed in the enrolled population (w</w:t>
      </w:r>
      <w:r w:rsidR="004C7FDA">
        <w:rPr>
          <w:rFonts w:ascii="Arial" w:hAnsi="Arial" w:cs="Arial"/>
          <w:lang w:val="en-GB"/>
        </w:rPr>
        <w:t xml:space="preserve">here </w:t>
      </w:r>
      <w:r w:rsidR="00090534" w:rsidRPr="00BA3910">
        <w:rPr>
          <w:rFonts w:ascii="Arial" w:hAnsi="Arial" w:cs="Arial"/>
          <w:lang w:val="en-GB"/>
        </w:rPr>
        <w:t>baseline and follow-up data</w:t>
      </w:r>
      <w:r w:rsidR="004C7FDA">
        <w:rPr>
          <w:rFonts w:ascii="Arial" w:hAnsi="Arial" w:cs="Arial"/>
          <w:lang w:val="en-GB"/>
        </w:rPr>
        <w:t xml:space="preserve"> were available</w:t>
      </w:r>
      <w:r w:rsidR="00090534" w:rsidRPr="00BA3910">
        <w:rPr>
          <w:rFonts w:ascii="Arial" w:hAnsi="Arial" w:cs="Arial"/>
          <w:lang w:val="en-GB"/>
        </w:rPr>
        <w:t>), while diagnostic accuracy was evaluated in the inten</w:t>
      </w:r>
      <w:r w:rsidR="005A10CA" w:rsidRPr="00BA3910">
        <w:rPr>
          <w:rFonts w:ascii="Arial" w:hAnsi="Arial" w:cs="Arial"/>
          <w:lang w:val="en-GB"/>
        </w:rPr>
        <w:t>tion</w:t>
      </w:r>
      <w:r w:rsidR="00090534" w:rsidRPr="00BA3910">
        <w:rPr>
          <w:rFonts w:ascii="Arial" w:hAnsi="Arial" w:cs="Arial"/>
          <w:lang w:val="en-GB"/>
        </w:rPr>
        <w:t xml:space="preserve">-to-diagnose cohort </w:t>
      </w:r>
      <w:r w:rsidR="00871C94" w:rsidRPr="00BA3910">
        <w:rPr>
          <w:rFonts w:ascii="Arial" w:hAnsi="Arial" w:cs="Arial"/>
          <w:lang w:val="en-GB"/>
        </w:rPr>
        <w:t>(</w:t>
      </w:r>
      <w:r w:rsidR="00CA1AA0" w:rsidRPr="00BA3910">
        <w:rPr>
          <w:rFonts w:ascii="Arial" w:hAnsi="Arial" w:cs="Arial"/>
          <w:lang w:val="en-GB"/>
        </w:rPr>
        <w:t>baseline</w:t>
      </w:r>
      <w:r w:rsidR="00871C94" w:rsidRPr="00BA3910">
        <w:rPr>
          <w:rFonts w:ascii="Arial" w:hAnsi="Arial" w:cs="Arial"/>
          <w:lang w:val="en-GB"/>
        </w:rPr>
        <w:t xml:space="preserve"> LSM and at least one LSM after HSCT) </w:t>
      </w:r>
      <w:r w:rsidR="00090534" w:rsidRPr="00BA3910">
        <w:rPr>
          <w:rFonts w:ascii="Arial" w:hAnsi="Arial" w:cs="Arial"/>
          <w:lang w:val="en-GB"/>
        </w:rPr>
        <w:t xml:space="preserve">for the primary endpoint. </w:t>
      </w:r>
    </w:p>
    <w:p w14:paraId="1EF33FC9" w14:textId="77777777" w:rsidR="00AB318A" w:rsidRDefault="00AB318A" w:rsidP="00407767">
      <w:pPr>
        <w:spacing w:line="360" w:lineRule="auto"/>
        <w:jc w:val="both"/>
        <w:rPr>
          <w:rFonts w:ascii="Arial" w:hAnsi="Arial" w:cs="Arial"/>
          <w:u w:val="single"/>
          <w:lang w:val="en-GB"/>
        </w:rPr>
      </w:pPr>
    </w:p>
    <w:p w14:paraId="2322344F" w14:textId="2E2ECE1C" w:rsidR="00775704" w:rsidRPr="00BA3910" w:rsidRDefault="00775704" w:rsidP="00407767">
      <w:pPr>
        <w:spacing w:line="360" w:lineRule="auto"/>
        <w:jc w:val="both"/>
        <w:rPr>
          <w:rFonts w:ascii="Arial" w:hAnsi="Arial" w:cs="Arial"/>
          <w:u w:val="single"/>
          <w:lang w:val="en-GB"/>
        </w:rPr>
      </w:pPr>
      <w:r w:rsidRPr="00BA3910">
        <w:rPr>
          <w:rFonts w:ascii="Arial" w:hAnsi="Arial" w:cs="Arial"/>
          <w:u w:val="single"/>
          <w:lang w:val="en-GB"/>
        </w:rPr>
        <w:t>Statistical analysis</w:t>
      </w:r>
    </w:p>
    <w:p w14:paraId="6D3AA821" w14:textId="25ACD45F" w:rsidR="00124675" w:rsidRDefault="008377E5" w:rsidP="004619C1">
      <w:pPr>
        <w:spacing w:line="360" w:lineRule="auto"/>
        <w:jc w:val="both"/>
        <w:rPr>
          <w:rFonts w:ascii="Arial" w:hAnsi="Arial" w:cs="Arial"/>
          <w:lang w:val="en-GB"/>
        </w:rPr>
      </w:pPr>
      <w:r w:rsidRPr="00BA3910">
        <w:rPr>
          <w:rFonts w:ascii="Arial" w:hAnsi="Arial" w:cs="Arial"/>
          <w:lang w:val="en-GB"/>
        </w:rPr>
        <w:t xml:space="preserve">The study's endpoints were established based on a sample size calculation using the Confidence Intervals for One Proportion Technique by PASS Sample Size Software. Assuming an incidence of </w:t>
      </w:r>
      <w:r w:rsidR="007B47AB">
        <w:rPr>
          <w:rFonts w:ascii="Arial" w:hAnsi="Arial" w:cs="Arial"/>
          <w:lang w:val="en-GB"/>
        </w:rPr>
        <w:t>VOD/SOS</w:t>
      </w:r>
      <w:r w:rsidRPr="00BA3910">
        <w:rPr>
          <w:rFonts w:ascii="Arial" w:hAnsi="Arial" w:cs="Arial"/>
          <w:lang w:val="en-GB"/>
        </w:rPr>
        <w:t xml:space="preserve"> of 10%</w:t>
      </w:r>
      <w:r w:rsidR="009C39A4">
        <w:rPr>
          <w:rFonts w:ascii="Arial" w:hAnsi="Arial" w:cs="Arial"/>
          <w:lang w:val="en-GB"/>
        </w:rPr>
        <w:fldChar w:fldCharType="begin"/>
      </w:r>
      <w:r w:rsidR="00AB318A">
        <w:rPr>
          <w:rFonts w:ascii="Arial" w:hAnsi="Arial" w:cs="Arial"/>
          <w:lang w:val="en-GB"/>
        </w:rPr>
        <w:instrText xml:space="preserve"> ADDIN ZOTERO_ITEM CSL_CITATION {"citationID":"dBl83ln9","properties":{"formattedCitation":"\\super 28\\nosupersub{}","plainCitation":"28","noteIndex":0},"citationItems":[{"id":10238,"uris":["http://zotero.org/users/9632340/items/YDDVVN77"],"itemData":{"id":10238,"type":"article-journal","abstract":"Abstract\n            Veno-occlusive disease/sinusoidal obstruction syndrome (VOD/SOS) is a potentially life-threatening complication of haematopoietic cell transplantation (HCT) conditioning. The DEFIFrance post-marketing registry study evaluated effectiveness and safety in patients who received defibrotide. It collected retrospective/prospective patient data from 53 French HCT centres from July 2014 to March 2020. Primary endpoints were survival and complete response (CR; total serum bilirubin &lt;2 mg/dL, multiorgan failure resolution) at Day 100 post-HCT among patients with severe/very severe VOD/SOS. A secondary endpoint was evaluation of treatment-emergent serious adverse events (TESAEs) of interest. Of 798 patients analysed, 251 and 81 received defibrotide treatment for severe/very severe VOD/SOS and mild/moderate VOD/SOS post-HCT, respectively; 381 received defibrotide for VOD/SOS prophylaxis. In patients with severe/very severe VOD/SOS post-HCT, Kaplan–Meier–estimated CR at Day 100 was 74% (95% confidence interval [CI]: 66%, 81%). At Day 100, 137/251 (55%) were alive and in CR. Kaplan–Meier–estimated Day 100 post-HCT survival was 61% (95% CI: 55%, 67%) in patients with severe/very severe VOD/SOS. TESAEs of interest occurred in 29% of these patients; VOD/SOS-related mortality at 12 months was 15%. DEFIFrance represents the largest collection of real-world data on post-registration defibrotide use, supporting the real-world utility of defibrotide for patients with severe/very severe VOD/SOS post-HCT.","container-title":"Bone Marrow Transplantation","DOI":"10.1038/s41409-022-01900-6","ISSN":"0268-3369, 1476-5365","issue":"4","journalAbbreviation":"Bone Marrow Transplant","language":"en","page":"367-376","source":"DOI.org (Crossref)","title":"Real-world use of defibrotide for veno-occlusive disease/sinusoidal obstruction syndrome: the DEFIFrance Registry Study","title-short":"Real-world use of defibrotide for veno-occlusive disease/sinusoidal obstruction syndrome","volume":"58","author":[{"family":"Mohty","given":"Mohamad"},{"family":"Blaise","given":"Didier"},{"family":"Peffault De Latour","given":"Régis"},{"family":"Labopin","given":"Myriam"},{"family":"Bourhis","given":"Jean Henri"},{"family":"Bruno","given":"Benedicte"},{"family":"Ceballos","given":"Patrice"},{"family":"Detrait","given":"Marie"},{"family":"Gandemer","given":"Virginie"},{"family":"Huynh","given":"Anne"},{"family":"Izadifar-Legrand","given":"Faezeh"},{"family":"Jubert","given":"Charlotte"},{"family":"Labussière-Wallet","given":"Hélène"},{"family":"Lebon","given":"Delphine"},{"family":"Maury","given":"Sébastien"},{"family":"Paillard","given":"Catherine"},{"family":"Pochon","given":"Cécile"},{"family":"Renard","given":"Cecile"},{"family":"Rialland","given":"Fanny"},{"family":"Schneider","given":"Pascale"},{"family":"Sirvent","given":"Anne"},{"family":"Asubonteng","given":"Kobby"},{"family":"Guindeuil","given":"Gwennaëlle"},{"family":"Yakoub-Agha","given":"Ibrahim"},{"family":"Dalle","given":"Jean-Hugues"}],"issued":{"date-parts":[["2023",4]]}}}],"schema":"https://github.com/citation-style-language/schema/raw/master/csl-citation.json"} </w:instrText>
      </w:r>
      <w:r w:rsidR="009C39A4">
        <w:rPr>
          <w:rFonts w:ascii="Arial" w:hAnsi="Arial" w:cs="Arial"/>
          <w:lang w:val="en-GB"/>
        </w:rPr>
        <w:fldChar w:fldCharType="separate"/>
      </w:r>
      <w:r w:rsidR="00AB318A" w:rsidRPr="00AB318A">
        <w:rPr>
          <w:rFonts w:ascii="Arial" w:hAnsi="Arial" w:cs="Arial"/>
          <w:vertAlign w:val="superscript"/>
          <w:lang w:val="en-US"/>
        </w:rPr>
        <w:t>28</w:t>
      </w:r>
      <w:r w:rsidR="009C39A4">
        <w:rPr>
          <w:rFonts w:ascii="Arial" w:hAnsi="Arial" w:cs="Arial"/>
          <w:lang w:val="en-GB"/>
        </w:rPr>
        <w:fldChar w:fldCharType="end"/>
      </w:r>
      <w:r w:rsidRPr="00BA3910">
        <w:rPr>
          <w:rFonts w:ascii="Arial" w:hAnsi="Arial" w:cs="Arial"/>
          <w:lang w:val="en-GB"/>
        </w:rPr>
        <w:t>, a minimum of 595 patients were needed to achieve a 95% two-tailed confidence interval, with at least 50 cases</w:t>
      </w:r>
      <w:r w:rsidR="00AD2C11" w:rsidRPr="00BA3910">
        <w:rPr>
          <w:rFonts w:ascii="Arial" w:hAnsi="Arial" w:cs="Arial"/>
          <w:lang w:val="en-GB"/>
        </w:rPr>
        <w:t xml:space="preserve"> of </w:t>
      </w:r>
      <w:r w:rsidR="000D1ED3" w:rsidRPr="00BA3910">
        <w:rPr>
          <w:rFonts w:ascii="Arial" w:hAnsi="Arial" w:cs="Arial"/>
          <w:lang w:val="en-GB"/>
        </w:rPr>
        <w:t>VOD/SOS</w:t>
      </w:r>
      <w:r w:rsidRPr="00BA3910">
        <w:rPr>
          <w:rFonts w:ascii="Arial" w:hAnsi="Arial" w:cs="Arial"/>
          <w:lang w:val="en-GB"/>
        </w:rPr>
        <w:t xml:space="preserve">. To account for a 20% drop-out rate, the total number of participants required for the study is at least 744 patients in order to maintain statistical significance. </w:t>
      </w:r>
      <w:r w:rsidR="0066691B" w:rsidRPr="00BA3910">
        <w:rPr>
          <w:rFonts w:ascii="Arial" w:hAnsi="Arial" w:cs="Arial"/>
          <w:lang w:val="en-GB"/>
        </w:rPr>
        <w:t xml:space="preserve"> Upon reaching the estimated number of patients, we found that the expected number of cases was not achieved. As a result, we extended the </w:t>
      </w:r>
      <w:r w:rsidR="00BA3910" w:rsidRPr="00BA3910">
        <w:rPr>
          <w:rFonts w:ascii="Arial" w:hAnsi="Arial" w:cs="Arial"/>
          <w:lang w:val="en-GB"/>
        </w:rPr>
        <w:t>enrolment</w:t>
      </w:r>
      <w:r w:rsidR="0066691B" w:rsidRPr="00BA3910">
        <w:rPr>
          <w:rFonts w:ascii="Arial" w:hAnsi="Arial" w:cs="Arial"/>
          <w:lang w:val="en-GB"/>
        </w:rPr>
        <w:t xml:space="preserve"> period until the target number was met. </w:t>
      </w:r>
      <w:r w:rsidR="00AD2C11" w:rsidRPr="00BA3910">
        <w:rPr>
          <w:rFonts w:ascii="Arial" w:hAnsi="Arial" w:cs="Arial"/>
          <w:lang w:val="en-GB"/>
        </w:rPr>
        <w:t xml:space="preserve">Continuous data are presented as medians with IQRs and were compared using the Wilcoxon test. Categorical data are summarised with the use of frequencies and proportions and were compared using the χ2 test. </w:t>
      </w:r>
      <w:r w:rsidR="00CC3B4B" w:rsidRPr="00BA3910">
        <w:rPr>
          <w:rFonts w:ascii="Arial" w:hAnsi="Arial" w:cs="Arial"/>
          <w:lang w:val="en-GB"/>
        </w:rPr>
        <w:t>Visual representations of data distributions among different groups were captured using violin or box plots to reveal their spread and shape.</w:t>
      </w:r>
    </w:p>
    <w:p w14:paraId="69626E10" w14:textId="5A2C3374" w:rsidR="00D95087" w:rsidRPr="00BA3910" w:rsidRDefault="00866A44" w:rsidP="00D95087">
      <w:pPr>
        <w:spacing w:line="360" w:lineRule="auto"/>
        <w:jc w:val="both"/>
        <w:rPr>
          <w:rFonts w:ascii="Arial" w:hAnsi="Arial" w:cs="Arial"/>
          <w:lang w:val="en-GB"/>
        </w:rPr>
      </w:pPr>
      <w:r w:rsidRPr="00BA3910">
        <w:rPr>
          <w:rFonts w:ascii="Arial" w:hAnsi="Arial" w:cs="Arial"/>
          <w:lang w:val="en-GB"/>
        </w:rPr>
        <w:t>Demographic, transplant, clinical and elastographic variables were considered as risk variables.</w:t>
      </w:r>
      <w:r w:rsidRPr="00BA3910">
        <w:rPr>
          <w:lang w:val="en-GB"/>
        </w:rPr>
        <w:t xml:space="preserve"> </w:t>
      </w:r>
      <w:r w:rsidRPr="00BA3910">
        <w:rPr>
          <w:rFonts w:ascii="Arial" w:hAnsi="Arial" w:cs="Arial"/>
          <w:lang w:val="en-GB"/>
        </w:rPr>
        <w:t xml:space="preserve">After evaluation of the multicollinearity, multivariable </w:t>
      </w:r>
      <w:r w:rsidR="004817AA">
        <w:rPr>
          <w:rFonts w:ascii="Arial" w:hAnsi="Arial" w:cs="Arial"/>
          <w:lang w:val="en-GB"/>
        </w:rPr>
        <w:t>c</w:t>
      </w:r>
      <w:r w:rsidR="004817AA" w:rsidRPr="007B47AB">
        <w:rPr>
          <w:rFonts w:ascii="Arial" w:hAnsi="Arial" w:cs="Arial"/>
          <w:lang w:val="en-GB"/>
        </w:rPr>
        <w:t>ompeting</w:t>
      </w:r>
      <w:r w:rsidR="004817AA">
        <w:rPr>
          <w:rFonts w:ascii="Arial" w:hAnsi="Arial" w:cs="Arial"/>
          <w:lang w:val="en-GB"/>
        </w:rPr>
        <w:t>-</w:t>
      </w:r>
      <w:r w:rsidR="004817AA" w:rsidRPr="007B47AB">
        <w:rPr>
          <w:rFonts w:ascii="Arial" w:hAnsi="Arial" w:cs="Arial"/>
          <w:lang w:val="en-GB"/>
        </w:rPr>
        <w:t xml:space="preserve">risk </w:t>
      </w:r>
      <w:r w:rsidRPr="00BA3910">
        <w:rPr>
          <w:rFonts w:ascii="Arial" w:hAnsi="Arial" w:cs="Arial"/>
          <w:lang w:val="en-GB"/>
        </w:rPr>
        <w:t xml:space="preserve">regression analyses were carried out on variables which reached p &lt;0.1 at univariate analysis. </w:t>
      </w:r>
      <w:r w:rsidR="007B47AB" w:rsidRPr="007B47AB">
        <w:rPr>
          <w:rFonts w:ascii="Arial" w:hAnsi="Arial" w:cs="Arial"/>
          <w:lang w:val="en-GB"/>
        </w:rPr>
        <w:t>The estimated subhazard ratio (SHR) with the 95%-CI and the Wald-chi2 tests were reported.</w:t>
      </w:r>
      <w:r w:rsidR="007B47AB">
        <w:rPr>
          <w:rFonts w:ascii="Arial" w:hAnsi="Arial" w:cs="Arial"/>
          <w:lang w:val="en-GB"/>
        </w:rPr>
        <w:t xml:space="preserve"> </w:t>
      </w:r>
      <w:r w:rsidRPr="00BA3910">
        <w:rPr>
          <w:rFonts w:ascii="Arial" w:hAnsi="Arial" w:cs="Arial"/>
          <w:lang w:val="en-GB"/>
        </w:rPr>
        <w:t>For multivariable</w:t>
      </w:r>
      <w:r w:rsidR="004817AA">
        <w:rPr>
          <w:rFonts w:ascii="Arial" w:hAnsi="Arial" w:cs="Arial"/>
          <w:lang w:val="en-GB"/>
        </w:rPr>
        <w:t xml:space="preserve"> c</w:t>
      </w:r>
      <w:r w:rsidR="004817AA" w:rsidRPr="007B47AB">
        <w:rPr>
          <w:rFonts w:ascii="Arial" w:hAnsi="Arial" w:cs="Arial"/>
          <w:lang w:val="en-GB"/>
        </w:rPr>
        <w:t>ompeting</w:t>
      </w:r>
      <w:r w:rsidR="004817AA">
        <w:rPr>
          <w:rFonts w:ascii="Arial" w:hAnsi="Arial" w:cs="Arial"/>
          <w:lang w:val="en-GB"/>
        </w:rPr>
        <w:t>-</w:t>
      </w:r>
      <w:r w:rsidR="004817AA" w:rsidRPr="007B47AB">
        <w:rPr>
          <w:rFonts w:ascii="Arial" w:hAnsi="Arial" w:cs="Arial"/>
          <w:lang w:val="en-GB"/>
        </w:rPr>
        <w:t>risk regression</w:t>
      </w:r>
      <w:r w:rsidRPr="00BA3910">
        <w:rPr>
          <w:rFonts w:ascii="Arial" w:hAnsi="Arial" w:cs="Arial"/>
          <w:lang w:val="en-GB"/>
        </w:rPr>
        <w:t>, the model discrimination was reported together with Akaike information criterion (AIC) and Bayesian information criterion (BIC) measures for comparing maximum likelihood models. Model discrimination was assessed by calculating the area under the receiver-operating characteristic curve (AUC or c-statistic</w:t>
      </w:r>
      <w:r w:rsidR="007B47AB">
        <w:rPr>
          <w:rFonts w:ascii="Arial" w:hAnsi="Arial" w:cs="Arial"/>
          <w:lang w:val="en-GB"/>
        </w:rPr>
        <w:t>)</w:t>
      </w:r>
      <w:r w:rsidRPr="00BA3910">
        <w:rPr>
          <w:rFonts w:ascii="Arial" w:hAnsi="Arial" w:cs="Arial"/>
          <w:lang w:val="en-GB"/>
        </w:rPr>
        <w:t xml:space="preserve">. We made the a priori decision to consider only models with an AUC c-statistic ≥0.70 as adequate. </w:t>
      </w:r>
      <w:r w:rsidR="00B34DAD" w:rsidRPr="00BA3910">
        <w:rPr>
          <w:rFonts w:ascii="Arial" w:hAnsi="Arial" w:cs="Arial"/>
          <w:lang w:val="en-GB"/>
        </w:rPr>
        <w:t>T</w:t>
      </w:r>
      <w:r w:rsidR="00AB0E08" w:rsidRPr="00BA3910">
        <w:rPr>
          <w:rFonts w:ascii="Arial" w:hAnsi="Arial" w:cs="Arial"/>
          <w:lang w:val="en-GB"/>
        </w:rPr>
        <w:t>o identify the diagnostic impact of LSM, we</w:t>
      </w:r>
      <w:r w:rsidR="004619C1" w:rsidRPr="00BA3910">
        <w:rPr>
          <w:rFonts w:ascii="Arial" w:hAnsi="Arial" w:cs="Arial"/>
          <w:lang w:val="en-GB"/>
        </w:rPr>
        <w:t xml:space="preserve"> </w:t>
      </w:r>
      <w:r w:rsidR="00B34DAD" w:rsidRPr="00BA3910">
        <w:rPr>
          <w:rFonts w:ascii="Arial" w:hAnsi="Arial" w:cs="Arial"/>
          <w:lang w:val="en-GB"/>
        </w:rPr>
        <w:t xml:space="preserve">determined </w:t>
      </w:r>
      <w:r w:rsidR="004619C1" w:rsidRPr="00BA3910">
        <w:rPr>
          <w:rFonts w:ascii="Arial" w:hAnsi="Arial" w:cs="Arial"/>
          <w:lang w:val="en-GB"/>
        </w:rPr>
        <w:t>LSM cut-off</w:t>
      </w:r>
      <w:r w:rsidR="00B34DAD" w:rsidRPr="00BA3910">
        <w:rPr>
          <w:rFonts w:ascii="Arial" w:hAnsi="Arial" w:cs="Arial"/>
          <w:lang w:val="en-GB"/>
        </w:rPr>
        <w:t xml:space="preserve"> values</w:t>
      </w:r>
      <w:r w:rsidR="004619C1" w:rsidRPr="00BA3910">
        <w:rPr>
          <w:rFonts w:ascii="Arial" w:hAnsi="Arial" w:cs="Arial"/>
          <w:lang w:val="en-GB"/>
        </w:rPr>
        <w:t xml:space="preserve"> for SOS/</w:t>
      </w:r>
      <w:r w:rsidR="000D1ED3" w:rsidRPr="00BA3910">
        <w:rPr>
          <w:rFonts w:ascii="Arial" w:hAnsi="Arial" w:cs="Arial"/>
          <w:lang w:val="en-GB"/>
        </w:rPr>
        <w:t>VOD</w:t>
      </w:r>
      <w:r w:rsidR="004619C1" w:rsidRPr="00BA3910">
        <w:rPr>
          <w:rFonts w:ascii="Arial" w:hAnsi="Arial" w:cs="Arial"/>
          <w:lang w:val="en-GB"/>
        </w:rPr>
        <w:t xml:space="preserve"> diagnosis by Receiver Operating Characteristic (ROC)-optimisation for rule-out and rule-in based on Sensitivity</w:t>
      </w:r>
      <w:r w:rsidR="00AB0E08" w:rsidRPr="00BA3910">
        <w:rPr>
          <w:rFonts w:ascii="Arial" w:hAnsi="Arial" w:cs="Arial"/>
          <w:lang w:val="en-GB"/>
        </w:rPr>
        <w:t xml:space="preserve"> (Sens)</w:t>
      </w:r>
      <w:r w:rsidR="004619C1" w:rsidRPr="00BA3910">
        <w:rPr>
          <w:rFonts w:ascii="Arial" w:hAnsi="Arial" w:cs="Arial"/>
          <w:lang w:val="en-GB"/>
        </w:rPr>
        <w:t>, Specificity</w:t>
      </w:r>
      <w:r w:rsidR="00AB0E08" w:rsidRPr="00BA3910">
        <w:rPr>
          <w:rFonts w:ascii="Arial" w:hAnsi="Arial" w:cs="Arial"/>
          <w:lang w:val="en-GB"/>
        </w:rPr>
        <w:t xml:space="preserve"> (Spec)</w:t>
      </w:r>
      <w:r w:rsidR="004619C1" w:rsidRPr="00BA3910">
        <w:rPr>
          <w:rFonts w:ascii="Arial" w:hAnsi="Arial" w:cs="Arial"/>
          <w:lang w:val="en-GB"/>
        </w:rPr>
        <w:t xml:space="preserve"> and the best cut-off according to Youden’s index. </w:t>
      </w:r>
      <w:r w:rsidR="00B34DAD" w:rsidRPr="00BA3910">
        <w:rPr>
          <w:rFonts w:ascii="Arial" w:hAnsi="Arial" w:cs="Arial"/>
          <w:lang w:val="en-GB"/>
        </w:rPr>
        <w:t xml:space="preserve">We considered a diagnostic model to be adequate if it had a Negative Predictive Value (NPV) of at least 90% for ruling-out </w:t>
      </w:r>
      <w:r w:rsidR="007B47AB">
        <w:rPr>
          <w:rFonts w:ascii="Arial" w:hAnsi="Arial" w:cs="Arial"/>
          <w:lang w:val="en-GB"/>
        </w:rPr>
        <w:t>VOD/SOS</w:t>
      </w:r>
      <w:r w:rsidR="00B34DAD" w:rsidRPr="00BA3910">
        <w:rPr>
          <w:rFonts w:ascii="Arial" w:hAnsi="Arial" w:cs="Arial"/>
          <w:lang w:val="en-GB"/>
        </w:rPr>
        <w:t xml:space="preserve"> and a Positive Predictive Value (PPV) of at least 90% for ruling-in </w:t>
      </w:r>
      <w:r w:rsidR="007B47AB">
        <w:rPr>
          <w:rFonts w:ascii="Arial" w:hAnsi="Arial" w:cs="Arial"/>
          <w:lang w:val="en-GB"/>
        </w:rPr>
        <w:t>VOD/SOS</w:t>
      </w:r>
      <w:r w:rsidR="00B34DAD" w:rsidRPr="00BA3910">
        <w:rPr>
          <w:rFonts w:ascii="Arial" w:hAnsi="Arial" w:cs="Arial"/>
          <w:lang w:val="en-GB"/>
        </w:rPr>
        <w:t>.</w:t>
      </w:r>
      <w:r w:rsidR="00AB0E08" w:rsidRPr="00BA3910">
        <w:rPr>
          <w:rFonts w:ascii="Arial" w:hAnsi="Arial" w:cs="Arial"/>
          <w:lang w:val="en-GB"/>
        </w:rPr>
        <w:t xml:space="preserve"> </w:t>
      </w:r>
      <w:r w:rsidR="004619C1" w:rsidRPr="00BA3910">
        <w:rPr>
          <w:rFonts w:ascii="Arial" w:hAnsi="Arial" w:cs="Arial"/>
          <w:lang w:val="en-GB"/>
        </w:rPr>
        <w:t xml:space="preserve">If </w:t>
      </w:r>
      <w:r w:rsidR="007B47AB">
        <w:rPr>
          <w:rFonts w:ascii="Arial" w:hAnsi="Arial" w:cs="Arial"/>
          <w:lang w:val="en-GB"/>
        </w:rPr>
        <w:t>VOD/SOS</w:t>
      </w:r>
      <w:r w:rsidR="004619C1" w:rsidRPr="00BA3910">
        <w:rPr>
          <w:rFonts w:ascii="Arial" w:hAnsi="Arial" w:cs="Arial"/>
          <w:lang w:val="en-GB"/>
        </w:rPr>
        <w:t xml:space="preserve"> could be neither ruled</w:t>
      </w:r>
      <w:r w:rsidR="00B34DAD" w:rsidRPr="00BA3910">
        <w:rPr>
          <w:rFonts w:ascii="Arial" w:hAnsi="Arial" w:cs="Arial"/>
          <w:lang w:val="en-GB"/>
        </w:rPr>
        <w:t xml:space="preserve"> in nor ruled </w:t>
      </w:r>
      <w:r w:rsidR="004619C1" w:rsidRPr="00BA3910">
        <w:rPr>
          <w:rFonts w:ascii="Arial" w:hAnsi="Arial" w:cs="Arial"/>
          <w:lang w:val="en-GB"/>
        </w:rPr>
        <w:t>out</w:t>
      </w:r>
      <w:r w:rsidR="00B34DAD" w:rsidRPr="00BA3910">
        <w:rPr>
          <w:rFonts w:ascii="Arial" w:hAnsi="Arial" w:cs="Arial"/>
          <w:lang w:val="en-GB"/>
        </w:rPr>
        <w:t xml:space="preserve"> by cut-offs</w:t>
      </w:r>
      <w:r w:rsidR="004619C1" w:rsidRPr="00BA3910">
        <w:rPr>
          <w:rFonts w:ascii="Arial" w:hAnsi="Arial" w:cs="Arial"/>
          <w:lang w:val="en-GB"/>
        </w:rPr>
        <w:t>, patients were considered the “</w:t>
      </w:r>
      <w:r w:rsidR="004619C1" w:rsidRPr="00BA3910">
        <w:rPr>
          <w:rFonts w:ascii="Arial" w:hAnsi="Arial" w:cs="Arial"/>
          <w:i/>
          <w:iCs/>
          <w:lang w:val="en-GB"/>
        </w:rPr>
        <w:t>grey zone</w:t>
      </w:r>
      <w:r w:rsidR="004619C1" w:rsidRPr="00BA3910">
        <w:rPr>
          <w:rFonts w:ascii="Arial" w:hAnsi="Arial" w:cs="Arial"/>
          <w:lang w:val="en-GB"/>
        </w:rPr>
        <w:t>”.</w:t>
      </w:r>
      <w:r w:rsidR="00AB0E08" w:rsidRPr="00BA3910">
        <w:rPr>
          <w:rFonts w:ascii="Arial" w:hAnsi="Arial" w:cs="Arial"/>
          <w:lang w:val="en-GB"/>
        </w:rPr>
        <w:t xml:space="preserve"> </w:t>
      </w:r>
      <w:r w:rsidR="00B34DAD" w:rsidRPr="00BA3910">
        <w:rPr>
          <w:rFonts w:ascii="Arial" w:hAnsi="Arial" w:cs="Arial"/>
          <w:lang w:val="en-GB"/>
        </w:rPr>
        <w:t>We calculated Sensitivity, Specificity, NPV, PPV, Positive Likelihood Ratio (LR+) and Negative Likelihood Ratio (LR-) and their 95% confidence intervals for each cut-off value.</w:t>
      </w:r>
      <w:r w:rsidR="00AB0E08" w:rsidRPr="00BA3910">
        <w:rPr>
          <w:rFonts w:ascii="Arial" w:hAnsi="Arial" w:cs="Arial"/>
          <w:lang w:val="en-GB"/>
        </w:rPr>
        <w:t xml:space="preserve"> </w:t>
      </w:r>
      <w:r w:rsidR="002D5455" w:rsidRPr="00BA3910">
        <w:rPr>
          <w:rFonts w:ascii="Arial" w:hAnsi="Arial" w:cs="Arial"/>
          <w:color w:val="161719"/>
          <w:shd w:val="clear" w:color="auto" w:fill="FFFFFF"/>
          <w:lang w:val="en-GB"/>
        </w:rPr>
        <w:t xml:space="preserve">LSM analyses were performed by separating patients based on the recorded units of measurement (kPa and m/sec). </w:t>
      </w:r>
      <w:r w:rsidR="00B34DAD" w:rsidRPr="00DA646C">
        <w:rPr>
          <w:rFonts w:ascii="Arial" w:hAnsi="Arial" w:cs="Arial"/>
          <w:color w:val="161719"/>
          <w:shd w:val="clear" w:color="auto" w:fill="FFFFFF"/>
          <w:lang w:val="en-GB"/>
        </w:rPr>
        <w:t>To maximi</w:t>
      </w:r>
      <w:r w:rsidR="00EA2DD4">
        <w:rPr>
          <w:rFonts w:ascii="Arial" w:hAnsi="Arial" w:cs="Arial"/>
          <w:color w:val="161719"/>
          <w:shd w:val="clear" w:color="auto" w:fill="FFFFFF"/>
          <w:lang w:val="en-GB"/>
        </w:rPr>
        <w:t>s</w:t>
      </w:r>
      <w:r w:rsidR="00B34DAD" w:rsidRPr="00DA646C">
        <w:rPr>
          <w:rFonts w:ascii="Arial" w:hAnsi="Arial" w:cs="Arial"/>
          <w:color w:val="161719"/>
          <w:shd w:val="clear" w:color="auto" w:fill="FFFFFF"/>
          <w:lang w:val="en-GB"/>
        </w:rPr>
        <w:t xml:space="preserve">e the diagnostic accuracy of LSM in </w:t>
      </w:r>
      <w:r w:rsidR="007B47AB" w:rsidRPr="00DA646C">
        <w:rPr>
          <w:rFonts w:ascii="Arial" w:hAnsi="Arial" w:cs="Arial"/>
          <w:color w:val="161719"/>
          <w:shd w:val="clear" w:color="auto" w:fill="FFFFFF"/>
          <w:lang w:val="en-GB"/>
        </w:rPr>
        <w:t>VOD/SOS</w:t>
      </w:r>
      <w:r w:rsidR="00B34DAD" w:rsidRPr="00DA646C">
        <w:rPr>
          <w:rFonts w:ascii="Arial" w:hAnsi="Arial" w:cs="Arial"/>
          <w:color w:val="161719"/>
          <w:shd w:val="clear" w:color="auto" w:fill="FFFFFF"/>
          <w:lang w:val="en-GB"/>
        </w:rPr>
        <w:t xml:space="preserve"> diagnosis, we developed a stepwise algorithm</w:t>
      </w:r>
      <w:r w:rsidR="0042380B">
        <w:rPr>
          <w:rFonts w:ascii="Arial" w:hAnsi="Arial" w:cs="Arial"/>
          <w:color w:val="161719"/>
          <w:shd w:val="clear" w:color="auto" w:fill="FFFFFF"/>
          <w:lang w:val="en-GB"/>
        </w:rPr>
        <w:t xml:space="preserve">. </w:t>
      </w:r>
      <w:r w:rsidR="00B34DAD" w:rsidRPr="00DA646C">
        <w:rPr>
          <w:rFonts w:ascii="Arial" w:hAnsi="Arial" w:cs="Arial"/>
          <w:color w:val="161719"/>
          <w:shd w:val="clear" w:color="auto" w:fill="FFFFFF"/>
          <w:lang w:val="en-GB"/>
        </w:rPr>
        <w:t xml:space="preserve">The application of the </w:t>
      </w:r>
      <w:r w:rsidR="0042380B" w:rsidRPr="00DA646C">
        <w:rPr>
          <w:rFonts w:ascii="Arial" w:hAnsi="Arial" w:cs="Arial"/>
          <w:color w:val="161719"/>
          <w:shd w:val="clear" w:color="auto" w:fill="FFFFFF"/>
          <w:lang w:val="en-GB"/>
        </w:rPr>
        <w:t xml:space="preserve">algorithm </w:t>
      </w:r>
      <w:r w:rsidR="00B34DAD" w:rsidRPr="00DA646C">
        <w:rPr>
          <w:rFonts w:ascii="Arial" w:hAnsi="Arial" w:cs="Arial"/>
          <w:color w:val="161719"/>
          <w:shd w:val="clear" w:color="auto" w:fill="FFFFFF"/>
          <w:lang w:val="en-GB"/>
        </w:rPr>
        <w:t>is limited to cases where the LSM has been measured in kPa.</w:t>
      </w:r>
    </w:p>
    <w:p w14:paraId="00255833" w14:textId="01F279E3" w:rsidR="00D95087" w:rsidRDefault="00D95087" w:rsidP="00D95087">
      <w:pPr>
        <w:spacing w:line="360" w:lineRule="auto"/>
        <w:jc w:val="both"/>
        <w:rPr>
          <w:rFonts w:ascii="Arial" w:hAnsi="Arial" w:cs="Arial"/>
          <w:lang w:val="en-GB"/>
        </w:rPr>
      </w:pPr>
      <w:r w:rsidRPr="00BA3910">
        <w:rPr>
          <w:rFonts w:ascii="Arial" w:hAnsi="Arial" w:cs="Arial"/>
          <w:lang w:val="en-GB"/>
        </w:rPr>
        <w:t>Kaplan-Meier method was used to estimate +100 day</w:t>
      </w:r>
      <w:r>
        <w:rPr>
          <w:rFonts w:ascii="Arial" w:hAnsi="Arial" w:cs="Arial"/>
          <w:lang w:val="en-GB"/>
        </w:rPr>
        <w:t xml:space="preserve"> and one-year overall </w:t>
      </w:r>
      <w:r w:rsidRPr="00BA3910">
        <w:rPr>
          <w:rFonts w:ascii="Arial" w:hAnsi="Arial" w:cs="Arial"/>
          <w:lang w:val="en-GB"/>
        </w:rPr>
        <w:t>survival. The</w:t>
      </w:r>
      <w:r>
        <w:rPr>
          <w:rFonts w:ascii="Arial" w:hAnsi="Arial" w:cs="Arial"/>
          <w:lang w:val="en-GB"/>
        </w:rPr>
        <w:t xml:space="preserve"> </w:t>
      </w:r>
      <w:r w:rsidRPr="00BA3910">
        <w:rPr>
          <w:rFonts w:ascii="Arial" w:hAnsi="Arial" w:cs="Arial"/>
          <w:lang w:val="en-GB"/>
        </w:rPr>
        <w:t>crude prevalence</w:t>
      </w:r>
      <w:r>
        <w:rPr>
          <w:rFonts w:ascii="Arial" w:hAnsi="Arial" w:cs="Arial"/>
          <w:lang w:val="en-GB"/>
        </w:rPr>
        <w:t xml:space="preserve"> of VOD was reported as </w:t>
      </w:r>
      <w:r w:rsidR="00605850">
        <w:rPr>
          <w:rFonts w:ascii="Arial" w:hAnsi="Arial" w:cs="Arial"/>
          <w:lang w:val="en-GB"/>
        </w:rPr>
        <w:t>the ratio between the number of cases over the population analysed;</w:t>
      </w:r>
      <w:r>
        <w:rPr>
          <w:rFonts w:ascii="Arial" w:hAnsi="Arial" w:cs="Arial"/>
          <w:lang w:val="en-GB"/>
        </w:rPr>
        <w:t xml:space="preserve"> the cumulative incidence of VOD</w:t>
      </w:r>
      <w:r w:rsidR="00EA2DD4">
        <w:rPr>
          <w:rFonts w:ascii="Arial" w:hAnsi="Arial" w:cs="Arial"/>
          <w:lang w:val="en-GB"/>
        </w:rPr>
        <w:t>/SOS</w:t>
      </w:r>
      <w:r w:rsidRPr="00BA3910">
        <w:rPr>
          <w:rFonts w:ascii="Arial" w:hAnsi="Arial" w:cs="Arial"/>
          <w:lang w:val="en-GB"/>
        </w:rPr>
        <w:t xml:space="preserve"> </w:t>
      </w:r>
      <w:r>
        <w:rPr>
          <w:rFonts w:ascii="Arial" w:hAnsi="Arial" w:cs="Arial"/>
          <w:lang w:val="en-GB"/>
        </w:rPr>
        <w:t>was calculated</w:t>
      </w:r>
      <w:r w:rsidR="005A711B">
        <w:rPr>
          <w:rFonts w:ascii="Arial" w:hAnsi="Arial" w:cs="Arial"/>
          <w:lang w:val="en-GB"/>
        </w:rPr>
        <w:t>, accounting for death for non-VOD/SOS-related causes as a</w:t>
      </w:r>
      <w:r>
        <w:rPr>
          <w:rFonts w:ascii="Arial" w:hAnsi="Arial" w:cs="Arial"/>
          <w:lang w:val="en-GB"/>
        </w:rPr>
        <w:t xml:space="preserve"> competi</w:t>
      </w:r>
      <w:r w:rsidR="00EA2DD4">
        <w:rPr>
          <w:rFonts w:ascii="Arial" w:hAnsi="Arial" w:cs="Arial"/>
          <w:lang w:val="en-GB"/>
        </w:rPr>
        <w:t>ti</w:t>
      </w:r>
      <w:r>
        <w:rPr>
          <w:rFonts w:ascii="Arial" w:hAnsi="Arial" w:cs="Arial"/>
          <w:lang w:val="en-GB"/>
        </w:rPr>
        <w:t>ve risk</w:t>
      </w:r>
      <w:r w:rsidR="00EA2DD4">
        <w:rPr>
          <w:rFonts w:ascii="Arial" w:hAnsi="Arial" w:cs="Arial"/>
          <w:lang w:val="en-GB"/>
        </w:rPr>
        <w:t>.</w:t>
      </w:r>
      <w:r>
        <w:rPr>
          <w:rFonts w:ascii="Arial" w:hAnsi="Arial" w:cs="Arial"/>
          <w:lang w:val="en-GB"/>
        </w:rPr>
        <w:t xml:space="preserve"> </w:t>
      </w:r>
      <w:r w:rsidRPr="00BA3910">
        <w:rPr>
          <w:rFonts w:ascii="Arial" w:hAnsi="Arial" w:cs="Arial"/>
          <w:lang w:val="en-GB"/>
        </w:rPr>
        <w:t>The log-rank test</w:t>
      </w:r>
      <w:r w:rsidR="004348C3">
        <w:rPr>
          <w:rFonts w:ascii="Arial" w:hAnsi="Arial" w:cs="Arial"/>
          <w:lang w:val="en-GB"/>
        </w:rPr>
        <w:t xml:space="preserve"> and Gray’s test were</w:t>
      </w:r>
      <w:r w:rsidRPr="00BA3910">
        <w:rPr>
          <w:rFonts w:ascii="Arial" w:hAnsi="Arial" w:cs="Arial"/>
          <w:lang w:val="en-GB"/>
        </w:rPr>
        <w:t xml:space="preserve"> used to assess group differences for</w:t>
      </w:r>
      <w:r w:rsidR="004348C3">
        <w:rPr>
          <w:rFonts w:ascii="Arial" w:hAnsi="Arial" w:cs="Arial"/>
          <w:lang w:val="en-GB"/>
        </w:rPr>
        <w:t xml:space="preserve"> survival and VOD/SOS cumulative incidence.</w:t>
      </w:r>
      <w:r w:rsidRPr="00BA3910">
        <w:rPr>
          <w:rFonts w:ascii="Arial" w:hAnsi="Arial" w:cs="Arial"/>
          <w:lang w:val="en-GB"/>
        </w:rPr>
        <w:t xml:space="preserve"> </w:t>
      </w:r>
      <w:r w:rsidR="004348C3">
        <w:rPr>
          <w:rFonts w:ascii="Arial" w:hAnsi="Arial" w:cs="Arial"/>
          <w:lang w:val="en-GB"/>
        </w:rPr>
        <w:t>C</w:t>
      </w:r>
      <w:r w:rsidR="00EA2DD4" w:rsidRPr="00EA2DD4">
        <w:rPr>
          <w:rFonts w:ascii="Arial" w:hAnsi="Arial" w:cs="Arial"/>
          <w:lang w:val="en-GB"/>
        </w:rPr>
        <w:t>ompeting-risks regression</w:t>
      </w:r>
      <w:r w:rsidR="00EA2DD4">
        <w:rPr>
          <w:rFonts w:ascii="Arial" w:hAnsi="Arial" w:cs="Arial"/>
          <w:lang w:val="en-GB"/>
        </w:rPr>
        <w:t>s</w:t>
      </w:r>
      <w:r w:rsidR="00EA2DD4" w:rsidRPr="00EA2DD4">
        <w:rPr>
          <w:rFonts w:ascii="Arial" w:hAnsi="Arial" w:cs="Arial"/>
          <w:lang w:val="en-GB"/>
        </w:rPr>
        <w:t xml:space="preserve"> based on Fine and Gray’s proportional sub</w:t>
      </w:r>
      <w:r w:rsidR="00EA2DD4">
        <w:rPr>
          <w:rFonts w:ascii="Arial" w:hAnsi="Arial" w:cs="Arial"/>
          <w:lang w:val="en-GB"/>
        </w:rPr>
        <w:t>hazards models were</w:t>
      </w:r>
      <w:r w:rsidRPr="00BA3910">
        <w:rPr>
          <w:rFonts w:ascii="Arial" w:hAnsi="Arial" w:cs="Arial"/>
          <w:lang w:val="en-GB"/>
        </w:rPr>
        <w:t xml:space="preserve"> performed to evaluate the predictor factors of VOD/SOS development after HSCT</w:t>
      </w:r>
      <w:r w:rsidR="00EA2DD4">
        <w:rPr>
          <w:rFonts w:ascii="Arial" w:hAnsi="Arial" w:cs="Arial"/>
          <w:lang w:val="en-GB"/>
        </w:rPr>
        <w:t xml:space="preserve">. </w:t>
      </w:r>
    </w:p>
    <w:p w14:paraId="2B82FC9B" w14:textId="7DB92CC4" w:rsidR="00D95087" w:rsidRPr="00DA646C" w:rsidRDefault="00EA2DD4" w:rsidP="004619C1">
      <w:pPr>
        <w:spacing w:line="360" w:lineRule="auto"/>
        <w:jc w:val="both"/>
        <w:rPr>
          <w:rFonts w:ascii="Arial" w:hAnsi="Arial" w:cs="Arial"/>
          <w:color w:val="161719"/>
          <w:shd w:val="clear" w:color="auto" w:fill="FFFFFF"/>
          <w:lang w:val="en-GB"/>
        </w:rPr>
      </w:pPr>
      <w:r w:rsidRPr="00DA646C">
        <w:rPr>
          <w:rFonts w:ascii="Arial" w:hAnsi="Arial" w:cs="Arial"/>
          <w:color w:val="161719"/>
          <w:shd w:val="clear" w:color="auto" w:fill="FFFFFF"/>
          <w:lang w:val="en-GB"/>
        </w:rPr>
        <w:t>All p values refer to two-tailed tests of significance. Statistical analyses were performed using Stata/SE (Version 18; Stata Corp, Texas, United States of America) for Mac</w:t>
      </w:r>
      <w:r>
        <w:rPr>
          <w:rFonts w:ascii="Arial" w:hAnsi="Arial" w:cs="Arial"/>
          <w:color w:val="161719"/>
          <w:shd w:val="clear" w:color="auto" w:fill="FFFFFF"/>
          <w:lang w:val="en-GB"/>
        </w:rPr>
        <w:t xml:space="preserve"> and </w:t>
      </w:r>
      <w:r w:rsidRPr="00F47BA9">
        <w:rPr>
          <w:rFonts w:ascii="Arial" w:hAnsi="Arial" w:cs="Arial"/>
          <w:color w:val="161719"/>
          <w:shd w:val="clear" w:color="auto" w:fill="FFFFFF"/>
          <w:lang w:val="en-GB"/>
        </w:rPr>
        <w:t>RStudio version 2023.6.0.422 (Posit team for Mac; 2023).</w:t>
      </w:r>
    </w:p>
    <w:p w14:paraId="36EB5C98" w14:textId="77777777" w:rsidR="0094447F" w:rsidRPr="0094447F" w:rsidRDefault="0094447F" w:rsidP="00407767">
      <w:pPr>
        <w:spacing w:line="360" w:lineRule="auto"/>
        <w:jc w:val="both"/>
        <w:rPr>
          <w:rFonts w:ascii="Arial" w:hAnsi="Arial" w:cs="Arial"/>
          <w:color w:val="161719"/>
          <w:shd w:val="clear" w:color="auto" w:fill="FFFFFF"/>
          <w:lang w:val="en-GB"/>
        </w:rPr>
      </w:pPr>
    </w:p>
    <w:p w14:paraId="7C071950" w14:textId="77777777" w:rsidR="00775704" w:rsidRPr="00BA3910" w:rsidRDefault="00775704" w:rsidP="00407767">
      <w:pPr>
        <w:spacing w:line="360" w:lineRule="auto"/>
        <w:jc w:val="both"/>
        <w:rPr>
          <w:rFonts w:ascii="Arial" w:hAnsi="Arial" w:cs="Arial"/>
          <w:b/>
          <w:bCs/>
          <w:lang w:val="en-GB"/>
        </w:rPr>
      </w:pPr>
      <w:r w:rsidRPr="00BA3910">
        <w:rPr>
          <w:rFonts w:ascii="Arial" w:hAnsi="Arial" w:cs="Arial"/>
          <w:b/>
          <w:bCs/>
          <w:lang w:val="en-GB"/>
        </w:rPr>
        <w:t>Role of the funding source</w:t>
      </w:r>
    </w:p>
    <w:p w14:paraId="6DEEB5F7" w14:textId="56E74AF0" w:rsidR="00CD3D3B" w:rsidRPr="00BA3910" w:rsidRDefault="0026388A" w:rsidP="00407767">
      <w:pPr>
        <w:spacing w:line="360" w:lineRule="auto"/>
        <w:rPr>
          <w:rFonts w:ascii="Arial" w:hAnsi="Arial" w:cs="Arial"/>
          <w:b/>
          <w:bCs/>
          <w:sz w:val="28"/>
          <w:szCs w:val="28"/>
          <w:lang w:val="en-GB"/>
        </w:rPr>
      </w:pPr>
      <w:r>
        <w:rPr>
          <w:rFonts w:ascii="Arial" w:hAnsi="Arial" w:cs="Arial"/>
          <w:lang w:val="en-GB"/>
        </w:rPr>
        <w:t>None</w:t>
      </w:r>
    </w:p>
    <w:p w14:paraId="5ECA27E1" w14:textId="77777777" w:rsidR="00D231B9" w:rsidRPr="00BA3910" w:rsidRDefault="00D231B9" w:rsidP="00407767">
      <w:pPr>
        <w:spacing w:line="360" w:lineRule="auto"/>
        <w:rPr>
          <w:rFonts w:ascii="Arial" w:hAnsi="Arial" w:cs="Arial"/>
          <w:b/>
          <w:bCs/>
          <w:sz w:val="28"/>
          <w:szCs w:val="28"/>
          <w:lang w:val="en-GB"/>
        </w:rPr>
      </w:pPr>
    </w:p>
    <w:p w14:paraId="0B8A9654" w14:textId="77777777" w:rsidR="00E507A1" w:rsidRPr="00BA3910" w:rsidRDefault="00775704" w:rsidP="00407767">
      <w:pPr>
        <w:spacing w:line="360" w:lineRule="auto"/>
        <w:rPr>
          <w:rFonts w:ascii="Arial" w:hAnsi="Arial" w:cs="Arial"/>
          <w:b/>
          <w:bCs/>
          <w:sz w:val="28"/>
          <w:szCs w:val="28"/>
          <w:lang w:val="en-GB"/>
        </w:rPr>
      </w:pPr>
      <w:commentRangeStart w:id="3"/>
      <w:r w:rsidRPr="00BA3910">
        <w:rPr>
          <w:rFonts w:ascii="Arial" w:hAnsi="Arial" w:cs="Arial"/>
          <w:b/>
          <w:bCs/>
          <w:sz w:val="28"/>
          <w:szCs w:val="28"/>
          <w:lang w:val="en-GB"/>
        </w:rPr>
        <w:t>Results</w:t>
      </w:r>
      <w:commentRangeEnd w:id="3"/>
      <w:r w:rsidR="00E05CBF" w:rsidRPr="00BA3910">
        <w:rPr>
          <w:rStyle w:val="Rimandocommento"/>
          <w:rFonts w:asciiTheme="minorHAnsi" w:eastAsiaTheme="minorHAnsi" w:hAnsiTheme="minorHAnsi" w:cstheme="minorBidi"/>
          <w:lang w:val="en-GB" w:eastAsia="en-US"/>
        </w:rPr>
        <w:commentReference w:id="3"/>
      </w:r>
    </w:p>
    <w:p w14:paraId="5EB5CBF6" w14:textId="77777777" w:rsidR="004A0624" w:rsidRPr="00BA3910" w:rsidRDefault="004A0624" w:rsidP="001E7773">
      <w:pPr>
        <w:spacing w:line="360" w:lineRule="auto"/>
        <w:jc w:val="both"/>
        <w:rPr>
          <w:rFonts w:ascii="Arial" w:hAnsi="Arial" w:cs="Arial"/>
          <w:b/>
          <w:bCs/>
          <w:u w:val="single"/>
          <w:lang w:val="en-GB"/>
        </w:rPr>
      </w:pPr>
      <w:r w:rsidRPr="00BA3910">
        <w:rPr>
          <w:rFonts w:ascii="Arial" w:hAnsi="Arial" w:cs="Arial"/>
          <w:b/>
          <w:bCs/>
          <w:u w:val="single"/>
          <w:lang w:val="en-GB"/>
        </w:rPr>
        <w:t>Study cohorts</w:t>
      </w:r>
    </w:p>
    <w:p w14:paraId="7F5E8616" w14:textId="10161726" w:rsidR="00631DB7" w:rsidRPr="00CD661F" w:rsidRDefault="00CD3D3B" w:rsidP="001E7773">
      <w:pPr>
        <w:spacing w:line="360" w:lineRule="auto"/>
        <w:jc w:val="both"/>
        <w:rPr>
          <w:rFonts w:ascii="Arial" w:hAnsi="Arial" w:cs="Arial"/>
          <w:lang w:val="en-US"/>
        </w:rPr>
      </w:pPr>
      <w:r w:rsidRPr="00BA3910">
        <w:rPr>
          <w:rFonts w:ascii="Arial" w:hAnsi="Arial" w:cs="Arial"/>
          <w:lang w:val="en-GB"/>
        </w:rPr>
        <w:t xml:space="preserve">Between </w:t>
      </w:r>
      <w:r w:rsidR="00C11C67" w:rsidRPr="00C11C67">
        <w:rPr>
          <w:rFonts w:ascii="Arial" w:hAnsi="Arial" w:cs="Arial"/>
          <w:lang w:val="en-GB"/>
        </w:rPr>
        <w:t xml:space="preserve">12 April 2018 </w:t>
      </w:r>
      <w:r w:rsidR="00C11C67">
        <w:rPr>
          <w:rFonts w:ascii="Arial" w:hAnsi="Arial" w:cs="Arial"/>
          <w:lang w:val="en-GB"/>
        </w:rPr>
        <w:t>and</w:t>
      </w:r>
      <w:r w:rsidR="00C11C67" w:rsidRPr="00C11C67">
        <w:rPr>
          <w:rFonts w:ascii="Arial" w:hAnsi="Arial" w:cs="Arial"/>
          <w:lang w:val="en-GB"/>
        </w:rPr>
        <w:t xml:space="preserve"> 22 December 2021</w:t>
      </w:r>
      <w:r w:rsidR="00CC256F" w:rsidRPr="00BA3910">
        <w:rPr>
          <w:rFonts w:ascii="Arial" w:hAnsi="Arial" w:cs="Arial"/>
          <w:lang w:val="en-GB"/>
        </w:rPr>
        <w:t xml:space="preserve">, a total of 1089 patients were screened in 25 </w:t>
      </w:r>
      <w:r w:rsidR="003F2FF3" w:rsidRPr="00BA3910">
        <w:rPr>
          <w:rFonts w:ascii="Arial" w:hAnsi="Arial" w:cs="Arial"/>
          <w:lang w:val="en-GB"/>
        </w:rPr>
        <w:t>HSCT programs</w:t>
      </w:r>
      <w:r w:rsidR="00CC256F" w:rsidRPr="00BA3910">
        <w:rPr>
          <w:rFonts w:ascii="Arial" w:hAnsi="Arial" w:cs="Arial"/>
          <w:lang w:val="en-GB"/>
        </w:rPr>
        <w:t xml:space="preserve">. </w:t>
      </w:r>
      <w:r w:rsidR="0026786A" w:rsidRPr="00BA3910">
        <w:rPr>
          <w:rFonts w:ascii="Arial" w:hAnsi="Arial" w:cs="Arial"/>
          <w:lang w:val="en-GB"/>
        </w:rPr>
        <w:t xml:space="preserve">Out of the </w:t>
      </w:r>
      <w:r w:rsidR="00D231B9" w:rsidRPr="00BA3910">
        <w:rPr>
          <w:rFonts w:ascii="Arial" w:hAnsi="Arial" w:cs="Arial"/>
          <w:lang w:val="en-GB"/>
        </w:rPr>
        <w:t xml:space="preserve">1089 </w:t>
      </w:r>
      <w:r w:rsidR="0026786A" w:rsidRPr="00BA3910">
        <w:rPr>
          <w:rFonts w:ascii="Arial" w:hAnsi="Arial" w:cs="Arial"/>
          <w:lang w:val="en-GB"/>
        </w:rPr>
        <w:t xml:space="preserve">patients initially screened, </w:t>
      </w:r>
      <w:r w:rsidR="00D231B9" w:rsidRPr="00BA3910">
        <w:rPr>
          <w:rFonts w:ascii="Arial" w:hAnsi="Arial" w:cs="Arial"/>
          <w:lang w:val="en-GB"/>
        </w:rPr>
        <w:t>148</w:t>
      </w:r>
      <w:r w:rsidR="0026786A" w:rsidRPr="00BA3910">
        <w:rPr>
          <w:rFonts w:ascii="Arial" w:hAnsi="Arial" w:cs="Arial"/>
          <w:lang w:val="en-GB"/>
        </w:rPr>
        <w:t xml:space="preserve"> were excluded for not meeting the eligibility criteria (</w:t>
      </w:r>
      <w:r w:rsidR="00E319EB">
        <w:rPr>
          <w:rFonts w:ascii="Arial" w:hAnsi="Arial" w:cs="Arial"/>
          <w:b/>
          <w:bCs/>
          <w:highlight w:val="yellow"/>
          <w:lang w:val="en-GB"/>
        </w:rPr>
        <w:t>F</w:t>
      </w:r>
      <w:r w:rsidR="0026786A" w:rsidRPr="00BA3910">
        <w:rPr>
          <w:rFonts w:ascii="Arial" w:hAnsi="Arial" w:cs="Arial"/>
          <w:b/>
          <w:bCs/>
          <w:highlight w:val="yellow"/>
          <w:lang w:val="en-GB"/>
        </w:rPr>
        <w:t>igure 1</w:t>
      </w:r>
      <w:r w:rsidR="0026786A" w:rsidRPr="00BA3910">
        <w:rPr>
          <w:rFonts w:ascii="Arial" w:hAnsi="Arial" w:cs="Arial"/>
          <w:lang w:val="en-GB"/>
        </w:rPr>
        <w:t xml:space="preserve">). </w:t>
      </w:r>
      <w:r w:rsidR="00BC0879" w:rsidRPr="00BA3910">
        <w:rPr>
          <w:rFonts w:ascii="Arial" w:hAnsi="Arial" w:cs="Arial"/>
          <w:lang w:val="en-GB"/>
        </w:rPr>
        <w:t xml:space="preserve">A total of 12 patients were excluded from the study due to missing LSM after </w:t>
      </w:r>
      <w:r w:rsidR="00F64ADD" w:rsidRPr="00BA3910">
        <w:rPr>
          <w:rFonts w:ascii="Arial" w:hAnsi="Arial" w:cs="Arial"/>
          <w:lang w:val="en-GB"/>
        </w:rPr>
        <w:t>HSCT</w:t>
      </w:r>
      <w:r w:rsidR="00BC0879" w:rsidRPr="00BA3910">
        <w:rPr>
          <w:rFonts w:ascii="Arial" w:hAnsi="Arial" w:cs="Arial"/>
          <w:lang w:val="en-GB"/>
        </w:rPr>
        <w:t>, leaving 941 patients for intention-to-diagnose analysis</w:t>
      </w:r>
      <w:r w:rsidR="00E319EB">
        <w:rPr>
          <w:rFonts w:ascii="Arial" w:hAnsi="Arial" w:cs="Arial"/>
          <w:lang w:val="en-GB"/>
        </w:rPr>
        <w:t xml:space="preserve">. </w:t>
      </w:r>
      <w:r w:rsidR="00BC0879" w:rsidRPr="00BA3910">
        <w:rPr>
          <w:rFonts w:ascii="Arial" w:hAnsi="Arial" w:cs="Arial"/>
          <w:b/>
          <w:bCs/>
          <w:highlight w:val="cyan"/>
          <w:lang w:val="en-GB"/>
        </w:rPr>
        <w:t>Table 1</w:t>
      </w:r>
      <w:r w:rsidR="00BC0879" w:rsidRPr="00BA3910">
        <w:rPr>
          <w:rFonts w:ascii="Arial" w:hAnsi="Arial" w:cs="Arial"/>
          <w:lang w:val="en-GB"/>
        </w:rPr>
        <w:t xml:space="preserve"> reported the baseline characteristics of patients enrolled.</w:t>
      </w:r>
      <w:r w:rsidR="001E7773" w:rsidRPr="00BA3910">
        <w:rPr>
          <w:rFonts w:ascii="Arial" w:hAnsi="Arial" w:cs="Arial"/>
          <w:lang w:val="en-GB"/>
        </w:rPr>
        <w:t xml:space="preserve"> </w:t>
      </w:r>
      <w:r w:rsidR="00631DB7" w:rsidRPr="00BA3910">
        <w:rPr>
          <w:rFonts w:ascii="Arial" w:hAnsi="Arial" w:cs="Arial"/>
          <w:lang w:val="en-GB"/>
        </w:rPr>
        <w:t xml:space="preserve">The study enrolled a total of 941 patients, out of which 774 (82.3%) were adults </w:t>
      </w:r>
      <w:r w:rsidR="00E319EB">
        <w:rPr>
          <w:rFonts w:ascii="Arial" w:hAnsi="Arial" w:cs="Arial"/>
          <w:lang w:val="en-GB"/>
        </w:rPr>
        <w:t>and</w:t>
      </w:r>
      <w:r w:rsidR="00631DB7" w:rsidRPr="00BA3910">
        <w:rPr>
          <w:rFonts w:ascii="Arial" w:hAnsi="Arial" w:cs="Arial"/>
          <w:lang w:val="en-GB"/>
        </w:rPr>
        <w:t xml:space="preserve"> 167 (17.7%) were paediatric patients</w:t>
      </w:r>
      <w:r w:rsidR="00E05CBF" w:rsidRPr="00BA3910">
        <w:rPr>
          <w:rFonts w:ascii="Arial" w:hAnsi="Arial" w:cs="Arial"/>
          <w:lang w:val="en-GB"/>
        </w:rPr>
        <w:t xml:space="preserve">. </w:t>
      </w:r>
      <w:r w:rsidR="00631DB7" w:rsidRPr="00BA3910">
        <w:rPr>
          <w:rFonts w:ascii="Arial" w:hAnsi="Arial" w:cs="Arial"/>
          <w:lang w:val="en-GB"/>
        </w:rPr>
        <w:t xml:space="preserve">The </w:t>
      </w:r>
      <w:r w:rsidR="00631DB7" w:rsidRPr="00BA3910">
        <w:rPr>
          <w:rFonts w:ascii="Arial" w:hAnsi="Arial" w:cs="Arial"/>
          <w:b/>
          <w:bCs/>
          <w:highlight w:val="magenta"/>
          <w:lang w:val="en-GB"/>
        </w:rPr>
        <w:t>appendix</w:t>
      </w:r>
      <w:r w:rsidR="00631DB7" w:rsidRPr="00BA3910">
        <w:rPr>
          <w:rFonts w:ascii="Arial" w:hAnsi="Arial" w:cs="Arial"/>
          <w:lang w:val="en-GB"/>
        </w:rPr>
        <w:t xml:space="preserve"> contains a comprehensive report of the baseline characteristics found in both adult and pediatric cohorts.</w:t>
      </w:r>
      <w:r w:rsidR="00E05CBF" w:rsidRPr="00BA3910">
        <w:rPr>
          <w:rFonts w:ascii="Arial" w:hAnsi="Arial" w:cs="Arial"/>
          <w:lang w:val="en-GB"/>
        </w:rPr>
        <w:t xml:space="preserve"> According to the EBMT guidelines, we assessed the risk factors for </w:t>
      </w:r>
      <w:r w:rsidR="000D1ED3" w:rsidRPr="00BA3910">
        <w:rPr>
          <w:rFonts w:ascii="Arial" w:hAnsi="Arial" w:cs="Arial"/>
          <w:lang w:val="en-GB"/>
        </w:rPr>
        <w:t>VOD/SOS</w:t>
      </w:r>
      <w:r w:rsidR="00E05CBF" w:rsidRPr="00BA3910">
        <w:rPr>
          <w:rFonts w:ascii="Arial" w:hAnsi="Arial" w:cs="Arial"/>
          <w:lang w:val="en-GB"/>
        </w:rPr>
        <w:t xml:space="preserve"> before </w:t>
      </w:r>
      <w:r w:rsidR="00F64ADD" w:rsidRPr="00BA3910">
        <w:rPr>
          <w:rFonts w:ascii="Arial" w:hAnsi="Arial" w:cs="Arial"/>
          <w:lang w:val="en-GB"/>
        </w:rPr>
        <w:t>HSCT</w:t>
      </w:r>
      <w:r w:rsidR="00E05CBF" w:rsidRPr="00BA3910">
        <w:rPr>
          <w:rFonts w:ascii="Arial" w:hAnsi="Arial" w:cs="Arial"/>
          <w:lang w:val="en-GB"/>
        </w:rPr>
        <w:t xml:space="preserve"> (</w:t>
      </w:r>
      <w:r w:rsidR="00E05CBF" w:rsidRPr="00BA3910">
        <w:rPr>
          <w:rFonts w:ascii="Arial" w:hAnsi="Arial" w:cs="Arial"/>
          <w:b/>
          <w:bCs/>
          <w:highlight w:val="cyan"/>
          <w:lang w:val="en-GB"/>
        </w:rPr>
        <w:t>Table 2</w:t>
      </w:r>
      <w:r w:rsidR="00E05CBF" w:rsidRPr="00BA3910">
        <w:rPr>
          <w:rFonts w:ascii="Arial" w:hAnsi="Arial" w:cs="Arial"/>
          <w:lang w:val="en-GB"/>
        </w:rPr>
        <w:t xml:space="preserve">). Patients had a median of 4 (IQR 3-5) </w:t>
      </w:r>
      <w:r w:rsidR="00E319EB">
        <w:rPr>
          <w:rFonts w:ascii="Arial" w:hAnsi="Arial" w:cs="Arial"/>
          <w:lang w:val="en-GB"/>
        </w:rPr>
        <w:t xml:space="preserve">EBMT </w:t>
      </w:r>
      <w:r w:rsidR="00E05CBF" w:rsidRPr="00BA3910">
        <w:rPr>
          <w:rFonts w:ascii="Arial" w:hAnsi="Arial" w:cs="Arial"/>
          <w:lang w:val="en-GB"/>
        </w:rPr>
        <w:t xml:space="preserve">risk factors, significantly higher in the group of patients who developed </w:t>
      </w:r>
      <w:r w:rsidR="000D1ED3" w:rsidRPr="00BA3910">
        <w:rPr>
          <w:rFonts w:ascii="Arial" w:hAnsi="Arial" w:cs="Arial"/>
          <w:lang w:val="en-GB"/>
        </w:rPr>
        <w:t>VOD/SOS</w:t>
      </w:r>
      <w:r w:rsidR="00E05CBF" w:rsidRPr="00BA3910">
        <w:rPr>
          <w:rFonts w:ascii="Arial" w:hAnsi="Arial" w:cs="Arial"/>
          <w:lang w:val="en-GB"/>
        </w:rPr>
        <w:t xml:space="preserve"> (p-value&lt;0.0001). </w:t>
      </w:r>
    </w:p>
    <w:p w14:paraId="6295F13D" w14:textId="77777777" w:rsidR="004F0C0D" w:rsidRPr="00CD661F" w:rsidRDefault="004F0C0D" w:rsidP="001E7773">
      <w:pPr>
        <w:spacing w:line="360" w:lineRule="auto"/>
        <w:jc w:val="both"/>
        <w:rPr>
          <w:rFonts w:ascii="Arial" w:hAnsi="Arial" w:cs="Arial"/>
          <w:lang w:val="en-US"/>
        </w:rPr>
      </w:pPr>
    </w:p>
    <w:p w14:paraId="211F2E76" w14:textId="557C9726" w:rsidR="004A0624" w:rsidRPr="00CD661F" w:rsidRDefault="000D1ED3" w:rsidP="001E7773">
      <w:pPr>
        <w:spacing w:line="360" w:lineRule="auto"/>
        <w:jc w:val="both"/>
        <w:rPr>
          <w:rFonts w:ascii="Arial" w:hAnsi="Arial" w:cs="Arial"/>
          <w:b/>
          <w:bCs/>
          <w:u w:val="single"/>
          <w:lang w:val="en-US"/>
        </w:rPr>
      </w:pPr>
      <w:r w:rsidRPr="00CD661F">
        <w:rPr>
          <w:rFonts w:ascii="Arial" w:hAnsi="Arial" w:cs="Arial"/>
          <w:b/>
          <w:bCs/>
          <w:u w:val="single"/>
          <w:lang w:val="en-US"/>
        </w:rPr>
        <w:t>VOD/SOS</w:t>
      </w:r>
      <w:r w:rsidR="004A0624" w:rsidRPr="00CD661F">
        <w:rPr>
          <w:rFonts w:ascii="Arial" w:hAnsi="Arial" w:cs="Arial"/>
          <w:b/>
          <w:bCs/>
          <w:u w:val="single"/>
          <w:lang w:val="en-US"/>
        </w:rPr>
        <w:t xml:space="preserve"> Incidence</w:t>
      </w:r>
      <w:r w:rsidR="007F5655" w:rsidRPr="00CD661F">
        <w:rPr>
          <w:rFonts w:ascii="Arial" w:hAnsi="Arial" w:cs="Arial"/>
          <w:b/>
          <w:bCs/>
          <w:u w:val="single"/>
          <w:lang w:val="en-US"/>
        </w:rPr>
        <w:t xml:space="preserve"> and Survival</w:t>
      </w:r>
    </w:p>
    <w:p w14:paraId="2A3AE027" w14:textId="180C457A" w:rsidR="004D0E6B" w:rsidRPr="00BA3910" w:rsidRDefault="007F5655" w:rsidP="001E7773">
      <w:pPr>
        <w:spacing w:line="360" w:lineRule="auto"/>
        <w:jc w:val="both"/>
        <w:rPr>
          <w:rFonts w:ascii="Arial" w:hAnsi="Arial" w:cs="Arial"/>
          <w:color w:val="161719"/>
          <w:shd w:val="clear" w:color="auto" w:fill="FFFFFF"/>
          <w:lang w:val="en-GB"/>
        </w:rPr>
      </w:pPr>
      <w:r w:rsidRPr="00BA3910">
        <w:rPr>
          <w:rFonts w:ascii="Arial" w:hAnsi="Arial" w:cs="Arial"/>
          <w:color w:val="161719"/>
          <w:shd w:val="clear" w:color="auto" w:fill="FFFFFF"/>
          <w:lang w:val="en-GB"/>
        </w:rPr>
        <w:t xml:space="preserve">Over a period of 100 days after </w:t>
      </w:r>
      <w:r w:rsidR="00F64ADD" w:rsidRPr="00BA3910">
        <w:rPr>
          <w:rFonts w:ascii="Arial" w:hAnsi="Arial" w:cs="Arial"/>
          <w:color w:val="161719"/>
          <w:shd w:val="clear" w:color="auto" w:fill="FFFFFF"/>
          <w:lang w:val="en-GB"/>
        </w:rPr>
        <w:t>HSCT</w:t>
      </w:r>
      <w:r w:rsidRPr="00BA3910">
        <w:rPr>
          <w:rFonts w:ascii="Arial" w:hAnsi="Arial" w:cs="Arial"/>
          <w:color w:val="161719"/>
          <w:shd w:val="clear" w:color="auto" w:fill="FFFFFF"/>
          <w:lang w:val="en-GB"/>
        </w:rPr>
        <w:t xml:space="preserve">, 5.53% (52) of patients developed </w:t>
      </w:r>
      <w:r w:rsidR="000D1ED3" w:rsidRPr="00BA3910">
        <w:rPr>
          <w:rFonts w:ascii="Arial" w:hAnsi="Arial" w:cs="Arial"/>
          <w:color w:val="161719"/>
          <w:shd w:val="clear" w:color="auto" w:fill="FFFFFF"/>
          <w:lang w:val="en-GB"/>
        </w:rPr>
        <w:t>VOD/SOS</w:t>
      </w:r>
      <w:r w:rsidRPr="00BA3910">
        <w:rPr>
          <w:rFonts w:ascii="Arial" w:hAnsi="Arial" w:cs="Arial"/>
          <w:color w:val="161719"/>
          <w:shd w:val="clear" w:color="auto" w:fill="FFFFFF"/>
          <w:lang w:val="en-GB"/>
        </w:rPr>
        <w:t xml:space="preserve"> with an incidence rate of 5.</w:t>
      </w:r>
      <w:r w:rsidR="00877281">
        <w:rPr>
          <w:rFonts w:ascii="Arial" w:hAnsi="Arial" w:cs="Arial"/>
          <w:color w:val="161719"/>
          <w:shd w:val="clear" w:color="auto" w:fill="FFFFFF"/>
          <w:lang w:val="en-GB"/>
        </w:rPr>
        <w:t>5</w:t>
      </w:r>
      <w:r w:rsidRPr="00BA3910">
        <w:rPr>
          <w:rFonts w:ascii="Arial" w:hAnsi="Arial" w:cs="Arial"/>
          <w:color w:val="161719"/>
          <w:shd w:val="clear" w:color="auto" w:fill="FFFFFF"/>
          <w:lang w:val="en-GB"/>
        </w:rPr>
        <w:t xml:space="preserve"> [95%CI 4.</w:t>
      </w:r>
      <w:r w:rsidR="00877281">
        <w:rPr>
          <w:rFonts w:ascii="Arial" w:hAnsi="Arial" w:cs="Arial"/>
          <w:color w:val="161719"/>
          <w:shd w:val="clear" w:color="auto" w:fill="FFFFFF"/>
          <w:lang w:val="en-GB"/>
        </w:rPr>
        <w:t>2</w:t>
      </w:r>
      <w:r w:rsidRPr="00BA3910">
        <w:rPr>
          <w:rFonts w:ascii="Arial" w:hAnsi="Arial" w:cs="Arial"/>
          <w:color w:val="161719"/>
          <w:shd w:val="clear" w:color="auto" w:fill="FFFFFF"/>
          <w:lang w:val="en-GB"/>
        </w:rPr>
        <w:t xml:space="preserve"> – 7.</w:t>
      </w:r>
      <w:r w:rsidR="00877281">
        <w:rPr>
          <w:rFonts w:ascii="Arial" w:hAnsi="Arial" w:cs="Arial"/>
          <w:color w:val="161719"/>
          <w:shd w:val="clear" w:color="auto" w:fill="FFFFFF"/>
          <w:lang w:val="en-GB"/>
        </w:rPr>
        <w:t>1</w:t>
      </w:r>
      <w:r w:rsidRPr="00BA3910">
        <w:rPr>
          <w:rFonts w:ascii="Arial" w:hAnsi="Arial" w:cs="Arial"/>
          <w:color w:val="161719"/>
          <w:shd w:val="clear" w:color="auto" w:fill="FFFFFF"/>
          <w:lang w:val="en-GB"/>
        </w:rPr>
        <w:t>]</w:t>
      </w:r>
      <w:r w:rsidR="00163B25" w:rsidRPr="00BA3910">
        <w:rPr>
          <w:rFonts w:ascii="Arial" w:hAnsi="Arial" w:cs="Arial"/>
          <w:color w:val="161719"/>
          <w:shd w:val="clear" w:color="auto" w:fill="FFFFFF"/>
          <w:lang w:val="en-GB"/>
        </w:rPr>
        <w:t>.</w:t>
      </w:r>
      <w:r w:rsidRPr="00BA3910">
        <w:rPr>
          <w:rFonts w:ascii="Arial" w:hAnsi="Arial" w:cs="Arial"/>
          <w:color w:val="161719"/>
          <w:shd w:val="clear" w:color="auto" w:fill="FFFFFF"/>
          <w:lang w:val="en-GB"/>
        </w:rPr>
        <w:t xml:space="preserve"> The incidence rate </w:t>
      </w:r>
      <w:r w:rsidR="00E319EB">
        <w:rPr>
          <w:rFonts w:ascii="Arial" w:hAnsi="Arial" w:cs="Arial"/>
          <w:color w:val="161719"/>
          <w:shd w:val="clear" w:color="auto" w:fill="FFFFFF"/>
          <w:lang w:val="en-GB"/>
        </w:rPr>
        <w:t>significantly differed</w:t>
      </w:r>
      <w:r w:rsidRPr="00BA3910">
        <w:rPr>
          <w:rFonts w:ascii="Arial" w:hAnsi="Arial" w:cs="Arial"/>
          <w:color w:val="161719"/>
          <w:shd w:val="clear" w:color="auto" w:fill="FFFFFF"/>
          <w:lang w:val="en-GB"/>
        </w:rPr>
        <w:t xml:space="preserve"> between adult and pediatric cohorts</w:t>
      </w:r>
      <w:r w:rsidR="00163B25" w:rsidRPr="00BA3910">
        <w:rPr>
          <w:rFonts w:ascii="Arial" w:hAnsi="Arial" w:cs="Arial"/>
          <w:color w:val="161719"/>
          <w:shd w:val="clear" w:color="auto" w:fill="FFFFFF"/>
          <w:lang w:val="en-GB"/>
        </w:rPr>
        <w:t xml:space="preserve"> (p&lt;0.0001)</w:t>
      </w:r>
      <w:r w:rsidRPr="00BA3910">
        <w:rPr>
          <w:rFonts w:ascii="Arial" w:hAnsi="Arial" w:cs="Arial"/>
          <w:color w:val="161719"/>
          <w:shd w:val="clear" w:color="auto" w:fill="FFFFFF"/>
          <w:lang w:val="en-GB"/>
        </w:rPr>
        <w:t xml:space="preserve">. The adult cohort had 28 (3.62%) cases of </w:t>
      </w:r>
      <w:r w:rsidR="000D1ED3" w:rsidRPr="00BA3910">
        <w:rPr>
          <w:rFonts w:ascii="Arial" w:hAnsi="Arial" w:cs="Arial"/>
          <w:color w:val="161719"/>
          <w:shd w:val="clear" w:color="auto" w:fill="FFFFFF"/>
          <w:lang w:val="en-GB"/>
        </w:rPr>
        <w:t>VOD/SOS</w:t>
      </w:r>
      <w:r w:rsidRPr="00BA3910">
        <w:rPr>
          <w:rFonts w:ascii="Arial" w:hAnsi="Arial" w:cs="Arial"/>
          <w:color w:val="161719"/>
          <w:shd w:val="clear" w:color="auto" w:fill="FFFFFF"/>
          <w:lang w:val="en-GB"/>
        </w:rPr>
        <w:t xml:space="preserve">, with an incidence rate of </w:t>
      </w:r>
      <w:r w:rsidR="00877281">
        <w:rPr>
          <w:rFonts w:ascii="Arial" w:hAnsi="Arial" w:cs="Arial"/>
          <w:color w:val="161719"/>
          <w:shd w:val="clear" w:color="auto" w:fill="FFFFFF"/>
          <w:lang w:val="en-GB"/>
        </w:rPr>
        <w:t>3.6</w:t>
      </w:r>
      <w:r w:rsidRPr="00BA3910">
        <w:rPr>
          <w:rFonts w:ascii="Arial" w:hAnsi="Arial" w:cs="Arial"/>
          <w:color w:val="161719"/>
          <w:shd w:val="clear" w:color="auto" w:fill="FFFFFF"/>
          <w:lang w:val="en-GB"/>
        </w:rPr>
        <w:t xml:space="preserve"> [95% CI </w:t>
      </w:r>
      <w:r w:rsidR="00877281">
        <w:rPr>
          <w:rFonts w:ascii="Arial" w:hAnsi="Arial" w:cs="Arial"/>
          <w:color w:val="161719"/>
          <w:shd w:val="clear" w:color="auto" w:fill="FFFFFF"/>
          <w:lang w:val="en-GB"/>
        </w:rPr>
        <w:t>2.5</w:t>
      </w:r>
      <w:r w:rsidRPr="00BA3910">
        <w:rPr>
          <w:rFonts w:ascii="Arial" w:hAnsi="Arial" w:cs="Arial"/>
          <w:color w:val="161719"/>
          <w:shd w:val="clear" w:color="auto" w:fill="FFFFFF"/>
          <w:lang w:val="en-GB"/>
        </w:rPr>
        <w:t xml:space="preserve"> – 5</w:t>
      </w:r>
      <w:r w:rsidR="00877281">
        <w:rPr>
          <w:rFonts w:ascii="Arial" w:hAnsi="Arial" w:cs="Arial"/>
          <w:color w:val="161719"/>
          <w:shd w:val="clear" w:color="auto" w:fill="FFFFFF"/>
          <w:lang w:val="en-GB"/>
        </w:rPr>
        <w:t>.1</w:t>
      </w:r>
      <w:r w:rsidRPr="00BA3910">
        <w:rPr>
          <w:rFonts w:ascii="Arial" w:hAnsi="Arial" w:cs="Arial"/>
          <w:color w:val="161719"/>
          <w:shd w:val="clear" w:color="auto" w:fill="FFFFFF"/>
          <w:lang w:val="en-GB"/>
        </w:rPr>
        <w:t xml:space="preserve">]. The pediatric cohort had 24 (14.37%) cases of </w:t>
      </w:r>
      <w:r w:rsidR="000D1ED3" w:rsidRPr="00BA3910">
        <w:rPr>
          <w:rFonts w:ascii="Arial" w:hAnsi="Arial" w:cs="Arial"/>
          <w:color w:val="161719"/>
          <w:shd w:val="clear" w:color="auto" w:fill="FFFFFF"/>
          <w:lang w:val="en-GB"/>
        </w:rPr>
        <w:t>VOD/SOS</w:t>
      </w:r>
      <w:r w:rsidRPr="00BA3910">
        <w:rPr>
          <w:rFonts w:ascii="Arial" w:hAnsi="Arial" w:cs="Arial"/>
          <w:color w:val="161719"/>
          <w:shd w:val="clear" w:color="auto" w:fill="FFFFFF"/>
          <w:lang w:val="en-GB"/>
        </w:rPr>
        <w:t>, with an incidence rate of 14.</w:t>
      </w:r>
      <w:r w:rsidR="00877281">
        <w:rPr>
          <w:rFonts w:ascii="Arial" w:hAnsi="Arial" w:cs="Arial"/>
          <w:color w:val="161719"/>
          <w:shd w:val="clear" w:color="auto" w:fill="FFFFFF"/>
          <w:lang w:val="en-GB"/>
        </w:rPr>
        <w:t>4</w:t>
      </w:r>
      <w:r w:rsidRPr="00BA3910">
        <w:rPr>
          <w:rFonts w:ascii="Arial" w:hAnsi="Arial" w:cs="Arial"/>
          <w:color w:val="161719"/>
          <w:shd w:val="clear" w:color="auto" w:fill="FFFFFF"/>
          <w:lang w:val="en-GB"/>
        </w:rPr>
        <w:t xml:space="preserve"> [95% CI 9.</w:t>
      </w:r>
      <w:r w:rsidR="00877281">
        <w:rPr>
          <w:rFonts w:ascii="Arial" w:hAnsi="Arial" w:cs="Arial"/>
          <w:color w:val="161719"/>
          <w:shd w:val="clear" w:color="auto" w:fill="FFFFFF"/>
          <w:lang w:val="en-GB"/>
        </w:rPr>
        <w:t>5</w:t>
      </w:r>
      <w:r w:rsidRPr="00BA3910">
        <w:rPr>
          <w:rFonts w:ascii="Arial" w:hAnsi="Arial" w:cs="Arial"/>
          <w:color w:val="161719"/>
          <w:shd w:val="clear" w:color="auto" w:fill="FFFFFF"/>
          <w:lang w:val="en-GB"/>
        </w:rPr>
        <w:t xml:space="preserve"> – 2</w:t>
      </w:r>
      <w:r w:rsidR="00877281">
        <w:rPr>
          <w:rFonts w:ascii="Arial" w:hAnsi="Arial" w:cs="Arial"/>
          <w:color w:val="161719"/>
          <w:shd w:val="clear" w:color="auto" w:fill="FFFFFF"/>
          <w:lang w:val="en-GB"/>
        </w:rPr>
        <w:t>0.2</w:t>
      </w:r>
      <w:r w:rsidRPr="00BA3910">
        <w:rPr>
          <w:rFonts w:ascii="Arial" w:hAnsi="Arial" w:cs="Arial"/>
          <w:color w:val="161719"/>
          <w:shd w:val="clear" w:color="auto" w:fill="FFFFFF"/>
          <w:lang w:val="en-GB"/>
        </w:rPr>
        <w:t xml:space="preserve">]. </w:t>
      </w:r>
      <w:r w:rsidR="001E0117" w:rsidRPr="00BA3910">
        <w:rPr>
          <w:rFonts w:ascii="Arial" w:hAnsi="Arial" w:cs="Arial"/>
          <w:b/>
          <w:bCs/>
          <w:color w:val="161719"/>
          <w:highlight w:val="cyan"/>
          <w:shd w:val="clear" w:color="auto" w:fill="FFFFFF"/>
          <w:lang w:val="en-GB"/>
        </w:rPr>
        <w:t>Table 3</w:t>
      </w:r>
      <w:r w:rsidR="001E0117" w:rsidRPr="00BA3910">
        <w:rPr>
          <w:rFonts w:ascii="Arial" w:hAnsi="Arial" w:cs="Arial"/>
          <w:color w:val="161719"/>
          <w:shd w:val="clear" w:color="auto" w:fill="FFFFFF"/>
          <w:lang w:val="en-GB"/>
        </w:rPr>
        <w:t xml:space="preserve"> reports the characteristics of patients who developed </w:t>
      </w:r>
      <w:r w:rsidR="000D1ED3" w:rsidRPr="00BA3910">
        <w:rPr>
          <w:rFonts w:ascii="Arial" w:hAnsi="Arial" w:cs="Arial"/>
          <w:color w:val="161719"/>
          <w:shd w:val="clear" w:color="auto" w:fill="FFFFFF"/>
          <w:lang w:val="en-GB"/>
        </w:rPr>
        <w:t>VOD/SOS</w:t>
      </w:r>
      <w:r w:rsidR="001E0117" w:rsidRPr="00BA3910">
        <w:rPr>
          <w:rFonts w:ascii="Arial" w:hAnsi="Arial" w:cs="Arial"/>
          <w:color w:val="161719"/>
          <w:shd w:val="clear" w:color="auto" w:fill="FFFFFF"/>
          <w:lang w:val="en-GB"/>
        </w:rPr>
        <w:t xml:space="preserve">. The median time for the occurrence of </w:t>
      </w:r>
      <w:r w:rsidR="000D1ED3" w:rsidRPr="00BA3910">
        <w:rPr>
          <w:rFonts w:ascii="Arial" w:hAnsi="Arial" w:cs="Arial"/>
          <w:color w:val="161719"/>
          <w:shd w:val="clear" w:color="auto" w:fill="FFFFFF"/>
          <w:lang w:val="en-GB"/>
        </w:rPr>
        <w:t>VOD/SOS</w:t>
      </w:r>
      <w:r w:rsidR="001E0117" w:rsidRPr="00BA3910">
        <w:rPr>
          <w:rFonts w:ascii="Arial" w:hAnsi="Arial" w:cs="Arial"/>
          <w:color w:val="161719"/>
          <w:shd w:val="clear" w:color="auto" w:fill="FFFFFF"/>
          <w:lang w:val="en-GB"/>
        </w:rPr>
        <w:t xml:space="preserve"> was 18 days (IQR 11-25) after </w:t>
      </w:r>
      <w:r w:rsidR="00F64ADD" w:rsidRPr="00BA3910">
        <w:rPr>
          <w:rFonts w:ascii="Arial" w:hAnsi="Arial" w:cs="Arial"/>
          <w:color w:val="161719"/>
          <w:shd w:val="clear" w:color="auto" w:fill="FFFFFF"/>
          <w:lang w:val="en-GB"/>
        </w:rPr>
        <w:t>HSCT</w:t>
      </w:r>
      <w:r w:rsidR="001E0117" w:rsidRPr="00BA3910">
        <w:rPr>
          <w:rFonts w:ascii="Arial" w:hAnsi="Arial" w:cs="Arial"/>
          <w:color w:val="161719"/>
          <w:shd w:val="clear" w:color="auto" w:fill="FFFFFF"/>
          <w:lang w:val="en-GB"/>
        </w:rPr>
        <w:t xml:space="preserve">, with late-onset </w:t>
      </w:r>
      <w:r w:rsidR="000D1ED3" w:rsidRPr="00BA3910">
        <w:rPr>
          <w:rFonts w:ascii="Arial" w:hAnsi="Arial" w:cs="Arial"/>
          <w:color w:val="161719"/>
          <w:shd w:val="clear" w:color="auto" w:fill="FFFFFF"/>
          <w:lang w:val="en-GB"/>
        </w:rPr>
        <w:t>VOD/SOS</w:t>
      </w:r>
      <w:r w:rsidR="001E0117" w:rsidRPr="00BA3910">
        <w:rPr>
          <w:rFonts w:ascii="Arial" w:hAnsi="Arial" w:cs="Arial"/>
          <w:color w:val="161719"/>
          <w:shd w:val="clear" w:color="auto" w:fill="FFFFFF"/>
          <w:lang w:val="en-GB"/>
        </w:rPr>
        <w:t xml:space="preserve"> accounting for 36.5% of cases. Among the </w:t>
      </w:r>
      <w:r w:rsidR="000D1ED3" w:rsidRPr="00BA3910">
        <w:rPr>
          <w:rFonts w:ascii="Arial" w:hAnsi="Arial" w:cs="Arial"/>
          <w:color w:val="161719"/>
          <w:shd w:val="clear" w:color="auto" w:fill="FFFFFF"/>
          <w:lang w:val="en-GB"/>
        </w:rPr>
        <w:t>VOD/SOS</w:t>
      </w:r>
      <w:r w:rsidR="001E0117" w:rsidRPr="00BA3910">
        <w:rPr>
          <w:rFonts w:ascii="Arial" w:hAnsi="Arial" w:cs="Arial"/>
          <w:color w:val="161719"/>
          <w:shd w:val="clear" w:color="auto" w:fill="FFFFFF"/>
          <w:lang w:val="en-GB"/>
        </w:rPr>
        <w:t xml:space="preserve"> cases, the majority were graded as severe or very severe (71.2%) and were significantly more common in the adult population (78.6% vs 62.5%). In 73.1% of cases, the </w:t>
      </w:r>
      <w:r w:rsidR="007B47AB">
        <w:rPr>
          <w:rFonts w:ascii="Arial" w:hAnsi="Arial" w:cs="Arial"/>
          <w:color w:val="161719"/>
          <w:shd w:val="clear" w:color="auto" w:fill="FFFFFF"/>
          <w:lang w:val="en-GB"/>
        </w:rPr>
        <w:t>VOD/SOS</w:t>
      </w:r>
      <w:r w:rsidR="001E0117" w:rsidRPr="00BA3910">
        <w:rPr>
          <w:rFonts w:ascii="Arial" w:hAnsi="Arial" w:cs="Arial"/>
          <w:color w:val="161719"/>
          <w:shd w:val="clear" w:color="auto" w:fill="FFFFFF"/>
          <w:lang w:val="en-GB"/>
        </w:rPr>
        <w:t xml:space="preserve"> resolved after specific treatments (mainly Defibrotide), while in 26.9% of cases, it resulted in death related to </w:t>
      </w:r>
      <w:r w:rsidR="007B47AB">
        <w:rPr>
          <w:rFonts w:ascii="Arial" w:hAnsi="Arial" w:cs="Arial"/>
          <w:color w:val="161719"/>
          <w:shd w:val="clear" w:color="auto" w:fill="FFFFFF"/>
          <w:lang w:val="en-GB"/>
        </w:rPr>
        <w:t>VOD/SOS</w:t>
      </w:r>
      <w:r w:rsidR="001E0117" w:rsidRPr="00BA3910">
        <w:rPr>
          <w:rFonts w:ascii="Arial" w:hAnsi="Arial" w:cs="Arial"/>
          <w:color w:val="161719"/>
          <w:shd w:val="clear" w:color="auto" w:fill="FFFFFF"/>
          <w:lang w:val="en-GB"/>
        </w:rPr>
        <w:t>, which was more frequent in the adult cohort.</w:t>
      </w:r>
      <w:r w:rsidR="004D0E6B">
        <w:rPr>
          <w:rFonts w:ascii="Arial" w:hAnsi="Arial" w:cs="Arial"/>
          <w:color w:val="161719"/>
          <w:shd w:val="clear" w:color="auto" w:fill="FFFFFF"/>
          <w:lang w:val="en-GB"/>
        </w:rPr>
        <w:t xml:space="preserve"> In the </w:t>
      </w:r>
      <w:r w:rsidR="004D0E6B" w:rsidRPr="004D0E6B">
        <w:rPr>
          <w:rFonts w:ascii="Arial" w:hAnsi="Arial" w:cs="Arial"/>
          <w:b/>
          <w:bCs/>
          <w:color w:val="161719"/>
          <w:highlight w:val="magenta"/>
          <w:shd w:val="clear" w:color="auto" w:fill="FFFFFF"/>
          <w:lang w:val="en-GB"/>
        </w:rPr>
        <w:t>appendix</w:t>
      </w:r>
      <w:r w:rsidR="004D0E6B">
        <w:rPr>
          <w:rFonts w:ascii="Arial" w:hAnsi="Arial" w:cs="Arial"/>
          <w:color w:val="161719"/>
          <w:shd w:val="clear" w:color="auto" w:fill="FFFFFF"/>
          <w:lang w:val="en-GB"/>
        </w:rPr>
        <w:t>, a report on the characteristics of patients with VOD/SOS, comparing adults and pediatric patients</w:t>
      </w:r>
      <w:r w:rsidR="00245D9E">
        <w:rPr>
          <w:rFonts w:ascii="Arial" w:hAnsi="Arial" w:cs="Arial"/>
          <w:color w:val="161719"/>
          <w:shd w:val="clear" w:color="auto" w:fill="FFFFFF"/>
          <w:lang w:val="en-GB"/>
        </w:rPr>
        <w:t>, has been provided</w:t>
      </w:r>
      <w:r w:rsidR="004D0E6B">
        <w:rPr>
          <w:rFonts w:ascii="Arial" w:hAnsi="Arial" w:cs="Arial"/>
          <w:color w:val="161719"/>
          <w:shd w:val="clear" w:color="auto" w:fill="FFFFFF"/>
          <w:lang w:val="en-GB"/>
        </w:rPr>
        <w:t>.</w:t>
      </w:r>
    </w:p>
    <w:p w14:paraId="50E150FA" w14:textId="32274F7F" w:rsidR="009322BC" w:rsidRPr="00BA3910" w:rsidRDefault="00F25E5A" w:rsidP="001E7773">
      <w:pPr>
        <w:spacing w:line="360" w:lineRule="auto"/>
        <w:jc w:val="both"/>
        <w:rPr>
          <w:rFonts w:ascii="Arial" w:hAnsi="Arial" w:cs="Arial"/>
          <w:color w:val="161719"/>
          <w:shd w:val="clear" w:color="auto" w:fill="FFFFFF"/>
          <w:lang w:val="en-GB"/>
        </w:rPr>
      </w:pPr>
      <w:r w:rsidRPr="005A711B">
        <w:rPr>
          <w:rFonts w:ascii="Arial" w:hAnsi="Arial" w:cs="Arial"/>
          <w:b/>
          <w:bCs/>
          <w:color w:val="161719"/>
          <w:shd w:val="clear" w:color="auto" w:fill="FFFFFF"/>
          <w:lang w:val="en-GB"/>
        </w:rPr>
        <w:t>Figure 2</w:t>
      </w:r>
      <w:r w:rsidRPr="005A711B">
        <w:rPr>
          <w:rFonts w:ascii="Arial" w:hAnsi="Arial" w:cs="Arial"/>
          <w:color w:val="161719"/>
          <w:shd w:val="clear" w:color="auto" w:fill="FFFFFF"/>
          <w:lang w:val="en-GB"/>
        </w:rPr>
        <w:t xml:space="preserve"> displays the </w:t>
      </w:r>
      <w:r w:rsidR="00877281" w:rsidRPr="005A711B">
        <w:rPr>
          <w:rFonts w:ascii="Arial" w:hAnsi="Arial" w:cs="Arial"/>
          <w:color w:val="161719"/>
          <w:shd w:val="clear" w:color="auto" w:fill="FFFFFF"/>
          <w:lang w:val="en-GB"/>
        </w:rPr>
        <w:t>overall survival</w:t>
      </w:r>
      <w:r w:rsidRPr="005A711B">
        <w:rPr>
          <w:rFonts w:ascii="Arial" w:hAnsi="Arial" w:cs="Arial"/>
          <w:color w:val="161719"/>
          <w:shd w:val="clear" w:color="auto" w:fill="FFFFFF"/>
          <w:lang w:val="en-GB"/>
        </w:rPr>
        <w:t xml:space="preserve"> curve</w:t>
      </w:r>
      <w:r w:rsidR="005B6C0B" w:rsidRPr="005A711B">
        <w:rPr>
          <w:rFonts w:ascii="Arial" w:hAnsi="Arial" w:cs="Arial"/>
          <w:color w:val="161719"/>
          <w:shd w:val="clear" w:color="auto" w:fill="FFFFFF"/>
          <w:lang w:val="en-GB"/>
        </w:rPr>
        <w:t xml:space="preserve"> (2A)</w:t>
      </w:r>
      <w:r w:rsidRPr="005A711B">
        <w:rPr>
          <w:rFonts w:ascii="Arial" w:hAnsi="Arial" w:cs="Arial"/>
          <w:color w:val="161719"/>
          <w:shd w:val="clear" w:color="auto" w:fill="FFFFFF"/>
          <w:lang w:val="en-GB"/>
        </w:rPr>
        <w:t xml:space="preserve"> </w:t>
      </w:r>
      <w:r w:rsidR="005B6C0B" w:rsidRPr="005A711B">
        <w:rPr>
          <w:rFonts w:ascii="Arial" w:hAnsi="Arial" w:cs="Arial"/>
          <w:color w:val="161719"/>
          <w:shd w:val="clear" w:color="auto" w:fill="FFFFFF"/>
          <w:lang w:val="en-GB"/>
        </w:rPr>
        <w:t>and</w:t>
      </w:r>
      <w:r w:rsidRPr="005A711B">
        <w:rPr>
          <w:rFonts w:ascii="Arial" w:hAnsi="Arial" w:cs="Arial"/>
          <w:color w:val="161719"/>
          <w:shd w:val="clear" w:color="auto" w:fill="FFFFFF"/>
          <w:lang w:val="en-GB"/>
        </w:rPr>
        <w:t xml:space="preserve"> </w:t>
      </w:r>
      <w:r w:rsidR="00245D9E" w:rsidRPr="005A711B">
        <w:rPr>
          <w:rFonts w:ascii="Arial" w:hAnsi="Arial" w:cs="Arial"/>
          <w:color w:val="161719"/>
          <w:shd w:val="clear" w:color="auto" w:fill="FFFFFF"/>
          <w:lang w:val="en-GB"/>
        </w:rPr>
        <w:t xml:space="preserve">the </w:t>
      </w:r>
      <w:r w:rsidR="005B6C0B" w:rsidRPr="005A711B">
        <w:rPr>
          <w:rFonts w:ascii="Arial" w:hAnsi="Arial" w:cs="Arial"/>
          <w:color w:val="161719"/>
          <w:shd w:val="clear" w:color="auto" w:fill="FFFFFF"/>
          <w:lang w:val="en-GB"/>
        </w:rPr>
        <w:t xml:space="preserve">cumulative incidence of VOD/SOS </w:t>
      </w:r>
      <w:r w:rsidRPr="005A711B">
        <w:rPr>
          <w:rFonts w:ascii="Arial" w:hAnsi="Arial" w:cs="Arial"/>
          <w:color w:val="161719"/>
          <w:shd w:val="clear" w:color="auto" w:fill="FFFFFF"/>
          <w:lang w:val="en-GB"/>
        </w:rPr>
        <w:t>(2</w:t>
      </w:r>
      <w:r w:rsidR="005B6C0B" w:rsidRPr="005A711B">
        <w:rPr>
          <w:rFonts w:ascii="Arial" w:hAnsi="Arial" w:cs="Arial"/>
          <w:color w:val="161719"/>
          <w:shd w:val="clear" w:color="auto" w:fill="FFFFFF"/>
          <w:lang w:val="en-GB"/>
        </w:rPr>
        <w:t>B</w:t>
      </w:r>
      <w:r w:rsidRPr="005A711B">
        <w:rPr>
          <w:rFonts w:ascii="Arial" w:hAnsi="Arial" w:cs="Arial"/>
          <w:color w:val="161719"/>
          <w:shd w:val="clear" w:color="auto" w:fill="FFFFFF"/>
          <w:lang w:val="en-GB"/>
        </w:rPr>
        <w:t>)</w:t>
      </w:r>
      <w:r w:rsidR="005B6C0B" w:rsidRPr="005A711B">
        <w:rPr>
          <w:rFonts w:ascii="Arial" w:hAnsi="Arial" w:cs="Arial"/>
          <w:color w:val="161719"/>
          <w:shd w:val="clear" w:color="auto" w:fill="FFFFFF"/>
          <w:lang w:val="en-GB"/>
        </w:rPr>
        <w:t xml:space="preserve">. </w:t>
      </w:r>
      <w:r w:rsidR="00CB7227" w:rsidRPr="005A711B">
        <w:rPr>
          <w:rFonts w:ascii="Arial" w:hAnsi="Arial" w:cs="Arial"/>
          <w:color w:val="161719"/>
          <w:shd w:val="clear" w:color="auto" w:fill="FFFFFF"/>
          <w:lang w:val="en-GB"/>
        </w:rPr>
        <w:t>O</w:t>
      </w:r>
      <w:r w:rsidR="00304177" w:rsidRPr="005A711B">
        <w:rPr>
          <w:rFonts w:ascii="Arial" w:hAnsi="Arial" w:cs="Arial"/>
          <w:color w:val="161719"/>
          <w:shd w:val="clear" w:color="auto" w:fill="FFFFFF"/>
          <w:lang w:val="en-GB"/>
        </w:rPr>
        <w:t>verall</w:t>
      </w:r>
      <w:r w:rsidRPr="005A711B">
        <w:rPr>
          <w:rFonts w:ascii="Arial" w:hAnsi="Arial" w:cs="Arial"/>
          <w:color w:val="161719"/>
          <w:shd w:val="clear" w:color="auto" w:fill="FFFFFF"/>
          <w:lang w:val="en-GB"/>
        </w:rPr>
        <w:t xml:space="preserve"> </w:t>
      </w:r>
      <w:r w:rsidR="00304177" w:rsidRPr="005A711B">
        <w:rPr>
          <w:rFonts w:ascii="Arial" w:hAnsi="Arial" w:cs="Arial"/>
          <w:color w:val="161719"/>
          <w:shd w:val="clear" w:color="auto" w:fill="FFFFFF"/>
          <w:lang w:val="en-GB"/>
        </w:rPr>
        <w:t>survival</w:t>
      </w:r>
      <w:r w:rsidRPr="005A711B">
        <w:rPr>
          <w:rFonts w:ascii="Arial" w:hAnsi="Arial" w:cs="Arial"/>
          <w:color w:val="161719"/>
          <w:shd w:val="clear" w:color="auto" w:fill="FFFFFF"/>
          <w:lang w:val="en-GB"/>
        </w:rPr>
        <w:t xml:space="preserve"> </w:t>
      </w:r>
      <w:r w:rsidR="00EA2DD4" w:rsidRPr="005A711B">
        <w:rPr>
          <w:rFonts w:ascii="Arial" w:hAnsi="Arial" w:cs="Arial"/>
          <w:color w:val="161719"/>
          <w:shd w:val="clear" w:color="auto" w:fill="FFFFFF"/>
          <w:lang w:val="en-GB"/>
        </w:rPr>
        <w:t>probability</w:t>
      </w:r>
      <w:r w:rsidR="00CB7227" w:rsidRPr="005A711B">
        <w:rPr>
          <w:rFonts w:ascii="Arial" w:hAnsi="Arial" w:cs="Arial"/>
          <w:color w:val="161719"/>
          <w:shd w:val="clear" w:color="auto" w:fill="FFFFFF"/>
          <w:lang w:val="en-GB"/>
        </w:rPr>
        <w:t xml:space="preserve"> at +100</w:t>
      </w:r>
      <w:r w:rsidR="005A711B">
        <w:rPr>
          <w:rFonts w:ascii="Arial" w:hAnsi="Arial" w:cs="Arial"/>
          <w:color w:val="161719"/>
          <w:shd w:val="clear" w:color="auto" w:fill="FFFFFF"/>
          <w:lang w:val="en-GB"/>
        </w:rPr>
        <w:t xml:space="preserve"> days and one </w:t>
      </w:r>
      <w:r w:rsidR="00CB7227" w:rsidRPr="005A711B">
        <w:rPr>
          <w:rFonts w:ascii="Arial" w:hAnsi="Arial" w:cs="Arial"/>
          <w:color w:val="161719"/>
          <w:shd w:val="clear" w:color="auto" w:fill="FFFFFF"/>
          <w:lang w:val="en-GB"/>
        </w:rPr>
        <w:t xml:space="preserve">year was </w:t>
      </w:r>
      <w:r w:rsidR="005A711B" w:rsidRPr="005A711B">
        <w:rPr>
          <w:rFonts w:ascii="Arial" w:hAnsi="Arial" w:cs="Arial"/>
          <w:color w:val="161719"/>
          <w:shd w:val="clear" w:color="auto" w:fill="FFFFFF"/>
          <w:lang w:val="en-GB"/>
        </w:rPr>
        <w:t>89.5% [95% CI 87.6 – 92.5] and 79% [95%CI 76.4 – 81.7]</w:t>
      </w:r>
      <w:r w:rsidR="005A711B">
        <w:rPr>
          <w:rFonts w:ascii="Arial" w:hAnsi="Arial" w:cs="Arial"/>
          <w:color w:val="161719"/>
          <w:shd w:val="clear" w:color="auto" w:fill="FFFFFF"/>
          <w:lang w:val="en-GB"/>
        </w:rPr>
        <w:t>, respectively</w:t>
      </w:r>
      <w:r w:rsidR="00D14591" w:rsidRPr="005A711B">
        <w:rPr>
          <w:rFonts w:ascii="Arial" w:hAnsi="Arial" w:cs="Arial"/>
          <w:color w:val="161719"/>
          <w:shd w:val="clear" w:color="auto" w:fill="FFFFFF"/>
          <w:lang w:val="en-GB"/>
        </w:rPr>
        <w:t>.</w:t>
      </w:r>
      <w:r w:rsidR="00D14591" w:rsidRPr="00BA3910">
        <w:rPr>
          <w:rFonts w:ascii="Arial" w:hAnsi="Arial" w:cs="Arial"/>
          <w:color w:val="161719"/>
          <w:shd w:val="clear" w:color="auto" w:fill="FFFFFF"/>
          <w:lang w:val="en-GB"/>
        </w:rPr>
        <w:t xml:space="preserve"> The </w:t>
      </w:r>
      <w:r w:rsidR="00304177">
        <w:rPr>
          <w:rFonts w:ascii="Arial" w:hAnsi="Arial" w:cs="Arial"/>
          <w:color w:val="161719"/>
          <w:shd w:val="clear" w:color="auto" w:fill="FFFFFF"/>
          <w:lang w:val="en-GB"/>
        </w:rPr>
        <w:t xml:space="preserve">overall </w:t>
      </w:r>
      <w:r w:rsidR="00D14591" w:rsidRPr="00BA3910">
        <w:rPr>
          <w:rFonts w:ascii="Arial" w:hAnsi="Arial" w:cs="Arial"/>
          <w:color w:val="161719"/>
          <w:shd w:val="clear" w:color="auto" w:fill="FFFFFF"/>
          <w:lang w:val="en-GB"/>
        </w:rPr>
        <w:t xml:space="preserve">survival </w:t>
      </w:r>
      <w:r w:rsidR="00CB7227">
        <w:rPr>
          <w:rFonts w:ascii="Arial" w:hAnsi="Arial" w:cs="Arial"/>
          <w:color w:val="161719"/>
          <w:shd w:val="clear" w:color="auto" w:fill="FFFFFF"/>
          <w:lang w:val="en-GB"/>
        </w:rPr>
        <w:t>probability</w:t>
      </w:r>
      <w:r w:rsidR="00D14591" w:rsidRPr="00BA3910">
        <w:rPr>
          <w:rFonts w:ascii="Arial" w:hAnsi="Arial" w:cs="Arial"/>
          <w:color w:val="161719"/>
          <w:shd w:val="clear" w:color="auto" w:fill="FFFFFF"/>
          <w:lang w:val="en-GB"/>
        </w:rPr>
        <w:t xml:space="preserve"> significantly differed (p-value&lt;0.0</w:t>
      </w:r>
      <w:r w:rsidR="00737F7C" w:rsidRPr="00BA3910">
        <w:rPr>
          <w:rFonts w:ascii="Arial" w:hAnsi="Arial" w:cs="Arial"/>
          <w:color w:val="161719"/>
          <w:shd w:val="clear" w:color="auto" w:fill="FFFFFF"/>
          <w:lang w:val="en-GB"/>
        </w:rPr>
        <w:t>001)</w:t>
      </w:r>
      <w:r w:rsidR="00D14591" w:rsidRPr="00BA3910">
        <w:rPr>
          <w:rFonts w:ascii="Arial" w:hAnsi="Arial" w:cs="Arial"/>
          <w:color w:val="161719"/>
          <w:shd w:val="clear" w:color="auto" w:fill="FFFFFF"/>
          <w:lang w:val="en-GB"/>
        </w:rPr>
        <w:t xml:space="preserve"> between patients who developed </w:t>
      </w:r>
      <w:r w:rsidR="007B47AB">
        <w:rPr>
          <w:rFonts w:ascii="Arial" w:hAnsi="Arial" w:cs="Arial"/>
          <w:color w:val="161719"/>
          <w:shd w:val="clear" w:color="auto" w:fill="FFFFFF"/>
          <w:lang w:val="en-GB"/>
        </w:rPr>
        <w:t>VOD/SOS</w:t>
      </w:r>
      <w:r w:rsidR="00D14591" w:rsidRPr="00BA3910">
        <w:rPr>
          <w:rFonts w:ascii="Arial" w:hAnsi="Arial" w:cs="Arial"/>
          <w:color w:val="161719"/>
          <w:shd w:val="clear" w:color="auto" w:fill="FFFFFF"/>
          <w:lang w:val="en-GB"/>
        </w:rPr>
        <w:t xml:space="preserve"> (</w:t>
      </w:r>
      <w:r w:rsidR="00304177">
        <w:rPr>
          <w:rFonts w:ascii="Arial" w:hAnsi="Arial" w:cs="Arial"/>
          <w:color w:val="161719"/>
          <w:shd w:val="clear" w:color="auto" w:fill="FFFFFF"/>
          <w:lang w:val="en-GB"/>
        </w:rPr>
        <w:t>71.2</w:t>
      </w:r>
      <w:r w:rsidR="00D14591" w:rsidRPr="00BA3910">
        <w:rPr>
          <w:rFonts w:ascii="Arial" w:hAnsi="Arial" w:cs="Arial"/>
          <w:color w:val="161719"/>
          <w:shd w:val="clear" w:color="auto" w:fill="FFFFFF"/>
          <w:lang w:val="en-GB"/>
        </w:rPr>
        <w:t xml:space="preserve"> [95% CI </w:t>
      </w:r>
      <w:r w:rsidR="00304177">
        <w:rPr>
          <w:rFonts w:ascii="Arial" w:hAnsi="Arial" w:cs="Arial"/>
          <w:color w:val="161719"/>
          <w:shd w:val="clear" w:color="auto" w:fill="FFFFFF"/>
          <w:lang w:val="en-GB"/>
        </w:rPr>
        <w:t>56.8</w:t>
      </w:r>
      <w:r w:rsidR="00D14591" w:rsidRPr="00BA3910">
        <w:rPr>
          <w:rFonts w:ascii="Arial" w:hAnsi="Arial" w:cs="Arial"/>
          <w:color w:val="161719"/>
          <w:shd w:val="clear" w:color="auto" w:fill="FFFFFF"/>
          <w:lang w:val="en-GB"/>
        </w:rPr>
        <w:t xml:space="preserve"> – </w:t>
      </w:r>
      <w:r w:rsidR="00304177">
        <w:rPr>
          <w:rFonts w:ascii="Arial" w:hAnsi="Arial" w:cs="Arial"/>
          <w:color w:val="161719"/>
          <w:shd w:val="clear" w:color="auto" w:fill="FFFFFF"/>
          <w:lang w:val="en-GB"/>
        </w:rPr>
        <w:t>81.5</w:t>
      </w:r>
      <w:r w:rsidR="00D14591" w:rsidRPr="00BA3910">
        <w:rPr>
          <w:rFonts w:ascii="Arial" w:hAnsi="Arial" w:cs="Arial"/>
          <w:color w:val="161719"/>
          <w:shd w:val="clear" w:color="auto" w:fill="FFFFFF"/>
          <w:lang w:val="en-GB"/>
        </w:rPr>
        <w:t>]) compared to others (</w:t>
      </w:r>
      <w:r w:rsidR="00304177">
        <w:rPr>
          <w:rFonts w:ascii="Arial" w:hAnsi="Arial" w:cs="Arial"/>
          <w:color w:val="161719"/>
          <w:shd w:val="clear" w:color="auto" w:fill="FFFFFF"/>
          <w:lang w:val="en-GB"/>
        </w:rPr>
        <w:t>90.6</w:t>
      </w:r>
      <w:r w:rsidR="00D14591" w:rsidRPr="00BA3910">
        <w:rPr>
          <w:rFonts w:ascii="Arial" w:hAnsi="Arial" w:cs="Arial"/>
          <w:color w:val="161719"/>
          <w:shd w:val="clear" w:color="auto" w:fill="FFFFFF"/>
          <w:lang w:val="en-GB"/>
        </w:rPr>
        <w:t xml:space="preserve"> [95% CI </w:t>
      </w:r>
      <w:r w:rsidR="00304177">
        <w:rPr>
          <w:rFonts w:ascii="Arial" w:hAnsi="Arial" w:cs="Arial"/>
          <w:color w:val="161719"/>
          <w:shd w:val="clear" w:color="auto" w:fill="FFFFFF"/>
          <w:lang w:val="en-GB"/>
        </w:rPr>
        <w:t>88.5</w:t>
      </w:r>
      <w:r w:rsidR="00D14591" w:rsidRPr="00BA3910">
        <w:rPr>
          <w:rFonts w:ascii="Arial" w:hAnsi="Arial" w:cs="Arial"/>
          <w:color w:val="161719"/>
          <w:shd w:val="clear" w:color="auto" w:fill="FFFFFF"/>
          <w:lang w:val="en-GB"/>
        </w:rPr>
        <w:t xml:space="preserve"> – 9</w:t>
      </w:r>
      <w:r w:rsidR="00304177">
        <w:rPr>
          <w:rFonts w:ascii="Arial" w:hAnsi="Arial" w:cs="Arial"/>
          <w:color w:val="161719"/>
          <w:shd w:val="clear" w:color="auto" w:fill="FFFFFF"/>
          <w:lang w:val="en-GB"/>
        </w:rPr>
        <w:t>2.3</w:t>
      </w:r>
      <w:r w:rsidR="00D14591" w:rsidRPr="00BA3910">
        <w:rPr>
          <w:rFonts w:ascii="Arial" w:hAnsi="Arial" w:cs="Arial"/>
          <w:color w:val="161719"/>
          <w:shd w:val="clear" w:color="auto" w:fill="FFFFFF"/>
          <w:lang w:val="en-GB"/>
        </w:rPr>
        <w:t>])</w:t>
      </w:r>
      <w:r w:rsidR="00737F7C" w:rsidRPr="00BA3910">
        <w:rPr>
          <w:rFonts w:ascii="Arial" w:hAnsi="Arial" w:cs="Arial"/>
          <w:color w:val="161719"/>
          <w:shd w:val="clear" w:color="auto" w:fill="FFFFFF"/>
          <w:lang w:val="en-GB"/>
        </w:rPr>
        <w:t xml:space="preserve"> and across </w:t>
      </w:r>
      <w:r w:rsidR="007B47AB">
        <w:rPr>
          <w:rFonts w:ascii="Arial" w:hAnsi="Arial" w:cs="Arial"/>
          <w:color w:val="161719"/>
          <w:shd w:val="clear" w:color="auto" w:fill="FFFFFF"/>
          <w:lang w:val="en-GB"/>
        </w:rPr>
        <w:t>VOD/SOS</w:t>
      </w:r>
      <w:r w:rsidR="00737F7C" w:rsidRPr="00BA3910">
        <w:rPr>
          <w:rFonts w:ascii="Arial" w:hAnsi="Arial" w:cs="Arial"/>
          <w:color w:val="161719"/>
          <w:shd w:val="clear" w:color="auto" w:fill="FFFFFF"/>
          <w:lang w:val="en-GB"/>
        </w:rPr>
        <w:t xml:space="preserve"> severity grading (p-value&lt;0.0001). </w:t>
      </w:r>
      <w:r w:rsidR="001C1E32" w:rsidRPr="00BA3910">
        <w:rPr>
          <w:rFonts w:ascii="Arial" w:hAnsi="Arial" w:cs="Arial"/>
          <w:color w:val="161719"/>
          <w:shd w:val="clear" w:color="auto" w:fill="FFFFFF"/>
          <w:lang w:val="en-GB"/>
        </w:rPr>
        <w:t xml:space="preserve">The </w:t>
      </w:r>
      <w:r w:rsidR="00304177">
        <w:rPr>
          <w:rFonts w:ascii="Arial" w:hAnsi="Arial" w:cs="Arial"/>
          <w:color w:val="161719"/>
          <w:shd w:val="clear" w:color="auto" w:fill="FFFFFF"/>
          <w:lang w:val="en-GB"/>
        </w:rPr>
        <w:t>overall survival</w:t>
      </w:r>
      <w:r w:rsidR="001C1E32" w:rsidRPr="00BA3910">
        <w:rPr>
          <w:rFonts w:ascii="Arial" w:hAnsi="Arial" w:cs="Arial"/>
          <w:color w:val="161719"/>
          <w:shd w:val="clear" w:color="auto" w:fill="FFFFFF"/>
          <w:lang w:val="en-GB"/>
        </w:rPr>
        <w:t xml:space="preserve"> </w:t>
      </w:r>
      <w:r w:rsidR="00245D9E">
        <w:rPr>
          <w:rFonts w:ascii="Arial" w:hAnsi="Arial" w:cs="Arial"/>
          <w:color w:val="161719"/>
          <w:shd w:val="clear" w:color="auto" w:fill="FFFFFF"/>
          <w:lang w:val="en-GB"/>
        </w:rPr>
        <w:t xml:space="preserve">probability </w:t>
      </w:r>
      <w:r w:rsidR="001C1E32" w:rsidRPr="00BA3910">
        <w:rPr>
          <w:rFonts w:ascii="Arial" w:hAnsi="Arial" w:cs="Arial"/>
          <w:color w:val="161719"/>
          <w:shd w:val="clear" w:color="auto" w:fill="FFFFFF"/>
          <w:lang w:val="en-GB"/>
        </w:rPr>
        <w:t>for mild</w:t>
      </w:r>
      <w:r w:rsidR="00304177">
        <w:rPr>
          <w:rFonts w:ascii="Arial" w:hAnsi="Arial" w:cs="Arial"/>
          <w:color w:val="161719"/>
          <w:shd w:val="clear" w:color="auto" w:fill="FFFFFF"/>
          <w:lang w:val="en-GB"/>
        </w:rPr>
        <w:t>-</w:t>
      </w:r>
      <w:r w:rsidR="001C1E32" w:rsidRPr="00BA3910">
        <w:rPr>
          <w:rFonts w:ascii="Arial" w:hAnsi="Arial" w:cs="Arial"/>
          <w:color w:val="161719"/>
          <w:shd w:val="clear" w:color="auto" w:fill="FFFFFF"/>
          <w:lang w:val="en-GB"/>
        </w:rPr>
        <w:t>moderate</w:t>
      </w:r>
      <w:r w:rsidR="00304177">
        <w:rPr>
          <w:rFonts w:ascii="Arial" w:hAnsi="Arial" w:cs="Arial"/>
          <w:color w:val="161719"/>
          <w:shd w:val="clear" w:color="auto" w:fill="FFFFFF"/>
          <w:lang w:val="en-GB"/>
        </w:rPr>
        <w:t xml:space="preserve"> and</w:t>
      </w:r>
      <w:r w:rsidR="001C1E32" w:rsidRPr="00BA3910">
        <w:rPr>
          <w:rFonts w:ascii="Arial" w:hAnsi="Arial" w:cs="Arial"/>
          <w:color w:val="161719"/>
          <w:shd w:val="clear" w:color="auto" w:fill="FFFFFF"/>
          <w:lang w:val="en-GB"/>
        </w:rPr>
        <w:t xml:space="preserve"> severe</w:t>
      </w:r>
      <w:r w:rsidR="00304177">
        <w:rPr>
          <w:rFonts w:ascii="Arial" w:hAnsi="Arial" w:cs="Arial"/>
          <w:color w:val="161719"/>
          <w:shd w:val="clear" w:color="auto" w:fill="FFFFFF"/>
          <w:lang w:val="en-GB"/>
        </w:rPr>
        <w:t>-</w:t>
      </w:r>
      <w:r w:rsidR="001C1E32" w:rsidRPr="00BA3910">
        <w:rPr>
          <w:rFonts w:ascii="Arial" w:hAnsi="Arial" w:cs="Arial"/>
          <w:color w:val="161719"/>
          <w:shd w:val="clear" w:color="auto" w:fill="FFFFFF"/>
          <w:lang w:val="en-GB"/>
        </w:rPr>
        <w:t xml:space="preserve">very severe </w:t>
      </w:r>
      <w:r w:rsidR="007B47AB">
        <w:rPr>
          <w:rFonts w:ascii="Arial" w:hAnsi="Arial" w:cs="Arial"/>
          <w:color w:val="161719"/>
          <w:shd w:val="clear" w:color="auto" w:fill="FFFFFF"/>
          <w:lang w:val="en-GB"/>
        </w:rPr>
        <w:t>VOD/SOS</w:t>
      </w:r>
      <w:r w:rsidR="001C1E32" w:rsidRPr="00BA3910">
        <w:rPr>
          <w:rFonts w:ascii="Arial" w:hAnsi="Arial" w:cs="Arial"/>
          <w:color w:val="161719"/>
          <w:shd w:val="clear" w:color="auto" w:fill="FFFFFF"/>
          <w:lang w:val="en-GB"/>
        </w:rPr>
        <w:t xml:space="preserve"> were </w:t>
      </w:r>
      <w:r w:rsidR="00304177">
        <w:rPr>
          <w:rFonts w:ascii="Arial" w:hAnsi="Arial" w:cs="Arial"/>
          <w:color w:val="161719"/>
          <w:shd w:val="clear" w:color="auto" w:fill="FFFFFF"/>
          <w:lang w:val="en-GB"/>
        </w:rPr>
        <w:t>81.2%</w:t>
      </w:r>
      <w:r w:rsidR="001C1E32" w:rsidRPr="00BA3910">
        <w:rPr>
          <w:rFonts w:ascii="Arial" w:hAnsi="Arial" w:cs="Arial"/>
          <w:color w:val="161719"/>
          <w:shd w:val="clear" w:color="auto" w:fill="FFFFFF"/>
          <w:lang w:val="en-GB"/>
        </w:rPr>
        <w:t xml:space="preserve"> (95% CI </w:t>
      </w:r>
      <w:r w:rsidR="00304177">
        <w:rPr>
          <w:rFonts w:ascii="Arial" w:hAnsi="Arial" w:cs="Arial"/>
          <w:color w:val="161719"/>
          <w:shd w:val="clear" w:color="auto" w:fill="FFFFFF"/>
          <w:lang w:val="en-GB"/>
        </w:rPr>
        <w:t>52.5</w:t>
      </w:r>
      <w:r w:rsidR="001C1E32" w:rsidRPr="00BA3910">
        <w:rPr>
          <w:rFonts w:ascii="Arial" w:hAnsi="Arial" w:cs="Arial"/>
          <w:color w:val="161719"/>
          <w:shd w:val="clear" w:color="auto" w:fill="FFFFFF"/>
          <w:lang w:val="en-GB"/>
        </w:rPr>
        <w:t xml:space="preserve"> – </w:t>
      </w:r>
      <w:r w:rsidR="00304177">
        <w:rPr>
          <w:rFonts w:ascii="Arial" w:hAnsi="Arial" w:cs="Arial"/>
          <w:color w:val="161719"/>
          <w:shd w:val="clear" w:color="auto" w:fill="FFFFFF"/>
          <w:lang w:val="en-GB"/>
        </w:rPr>
        <w:t>93.5</w:t>
      </w:r>
      <w:r w:rsidR="001C1E32" w:rsidRPr="00BA3910">
        <w:rPr>
          <w:rFonts w:ascii="Arial" w:hAnsi="Arial" w:cs="Arial"/>
          <w:color w:val="161719"/>
          <w:shd w:val="clear" w:color="auto" w:fill="FFFFFF"/>
          <w:lang w:val="en-GB"/>
        </w:rPr>
        <w:t>)</w:t>
      </w:r>
      <w:r w:rsidR="00304177">
        <w:rPr>
          <w:rFonts w:ascii="Arial" w:hAnsi="Arial" w:cs="Arial"/>
          <w:color w:val="161719"/>
          <w:shd w:val="clear" w:color="auto" w:fill="FFFFFF"/>
          <w:lang w:val="en-GB"/>
        </w:rPr>
        <w:t xml:space="preserve"> and</w:t>
      </w:r>
      <w:r w:rsidR="001C1E32" w:rsidRPr="00BA3910">
        <w:rPr>
          <w:rFonts w:ascii="Arial" w:hAnsi="Arial" w:cs="Arial"/>
          <w:color w:val="161719"/>
          <w:shd w:val="clear" w:color="auto" w:fill="FFFFFF"/>
          <w:lang w:val="en-GB"/>
        </w:rPr>
        <w:t xml:space="preserve"> </w:t>
      </w:r>
      <w:r w:rsidR="00304177">
        <w:rPr>
          <w:rFonts w:ascii="Arial" w:hAnsi="Arial" w:cs="Arial"/>
          <w:color w:val="161719"/>
          <w:shd w:val="clear" w:color="auto" w:fill="FFFFFF"/>
          <w:lang w:val="en-GB"/>
        </w:rPr>
        <w:t>68.4%</w:t>
      </w:r>
      <w:r w:rsidR="001C1E32" w:rsidRPr="00BA3910">
        <w:rPr>
          <w:rFonts w:ascii="Arial" w:hAnsi="Arial" w:cs="Arial"/>
          <w:color w:val="161719"/>
          <w:shd w:val="clear" w:color="auto" w:fill="FFFFFF"/>
          <w:lang w:val="en-GB"/>
        </w:rPr>
        <w:t xml:space="preserve"> (95% CI </w:t>
      </w:r>
      <w:r w:rsidR="00304177">
        <w:rPr>
          <w:rFonts w:ascii="Arial" w:hAnsi="Arial" w:cs="Arial"/>
          <w:color w:val="161719"/>
          <w:shd w:val="clear" w:color="auto" w:fill="FFFFFF"/>
          <w:lang w:val="en-GB"/>
        </w:rPr>
        <w:t>51.1</w:t>
      </w:r>
      <w:r w:rsidR="001C1E32" w:rsidRPr="00BA3910">
        <w:rPr>
          <w:rFonts w:ascii="Arial" w:hAnsi="Arial" w:cs="Arial"/>
          <w:color w:val="161719"/>
          <w:shd w:val="clear" w:color="auto" w:fill="FFFFFF"/>
          <w:lang w:val="en-GB"/>
        </w:rPr>
        <w:t xml:space="preserve"> – </w:t>
      </w:r>
      <w:r w:rsidR="00304177">
        <w:rPr>
          <w:rFonts w:ascii="Arial" w:hAnsi="Arial" w:cs="Arial"/>
          <w:color w:val="161719"/>
          <w:shd w:val="clear" w:color="auto" w:fill="FFFFFF"/>
          <w:lang w:val="en-GB"/>
        </w:rPr>
        <w:t>80.7</w:t>
      </w:r>
      <w:r w:rsidR="001C1E32" w:rsidRPr="00BA3910">
        <w:rPr>
          <w:rFonts w:ascii="Arial" w:hAnsi="Arial" w:cs="Arial"/>
          <w:color w:val="161719"/>
          <w:shd w:val="clear" w:color="auto" w:fill="FFFFFF"/>
          <w:lang w:val="en-GB"/>
        </w:rPr>
        <w:t>),</w:t>
      </w:r>
      <w:r w:rsidR="00304177">
        <w:rPr>
          <w:rFonts w:ascii="Arial" w:hAnsi="Arial" w:cs="Arial"/>
          <w:color w:val="161719"/>
          <w:shd w:val="clear" w:color="auto" w:fill="FFFFFF"/>
          <w:lang w:val="en-GB"/>
        </w:rPr>
        <w:t xml:space="preserve"> </w:t>
      </w:r>
      <w:r w:rsidR="001C1E32" w:rsidRPr="00BA3910">
        <w:rPr>
          <w:rFonts w:ascii="Arial" w:hAnsi="Arial" w:cs="Arial"/>
          <w:color w:val="161719"/>
          <w:shd w:val="clear" w:color="auto" w:fill="FFFFFF"/>
          <w:lang w:val="en-GB"/>
        </w:rPr>
        <w:t>respectively</w:t>
      </w:r>
      <w:r w:rsidR="00304177">
        <w:rPr>
          <w:rFonts w:ascii="Arial" w:hAnsi="Arial" w:cs="Arial"/>
          <w:color w:val="161719"/>
          <w:shd w:val="clear" w:color="auto" w:fill="FFFFFF"/>
          <w:lang w:val="en-GB"/>
        </w:rPr>
        <w:t xml:space="preserve"> (</w:t>
      </w:r>
      <w:r w:rsidR="00304177" w:rsidRPr="00BA3910">
        <w:rPr>
          <w:rFonts w:ascii="Arial" w:hAnsi="Arial" w:cs="Arial"/>
          <w:b/>
          <w:bCs/>
          <w:highlight w:val="magenta"/>
          <w:lang w:val="en-GB"/>
        </w:rPr>
        <w:t>appendix</w:t>
      </w:r>
      <w:r w:rsidR="00304177">
        <w:rPr>
          <w:rFonts w:ascii="Arial" w:hAnsi="Arial" w:cs="Arial"/>
          <w:b/>
          <w:bCs/>
          <w:lang w:val="en-GB"/>
        </w:rPr>
        <w:t>)</w:t>
      </w:r>
      <w:r w:rsidR="001C1E32" w:rsidRPr="00BA3910">
        <w:rPr>
          <w:rFonts w:ascii="Arial" w:hAnsi="Arial" w:cs="Arial"/>
          <w:color w:val="161719"/>
          <w:shd w:val="clear" w:color="auto" w:fill="FFFFFF"/>
          <w:lang w:val="en-GB"/>
        </w:rPr>
        <w:t>.</w:t>
      </w:r>
    </w:p>
    <w:p w14:paraId="6EEC58A4" w14:textId="77777777" w:rsidR="00052B5C" w:rsidRPr="00BA3910" w:rsidRDefault="00052B5C" w:rsidP="001E7773">
      <w:pPr>
        <w:spacing w:line="360" w:lineRule="auto"/>
        <w:jc w:val="both"/>
        <w:rPr>
          <w:rFonts w:ascii="Arial" w:hAnsi="Arial" w:cs="Arial"/>
          <w:color w:val="161719"/>
          <w:shd w:val="clear" w:color="auto" w:fill="FFFFFF"/>
          <w:lang w:val="en-GB"/>
        </w:rPr>
      </w:pPr>
    </w:p>
    <w:p w14:paraId="7C1172E7" w14:textId="3C55C909" w:rsidR="002D5455" w:rsidRPr="00BA3910" w:rsidRDefault="000C3B60" w:rsidP="002D5455">
      <w:pPr>
        <w:spacing w:line="360" w:lineRule="auto"/>
        <w:jc w:val="both"/>
        <w:rPr>
          <w:rFonts w:ascii="Arial" w:hAnsi="Arial" w:cs="Arial"/>
          <w:b/>
          <w:bCs/>
          <w:u w:val="single"/>
          <w:lang w:val="en-GB"/>
        </w:rPr>
      </w:pPr>
      <w:r>
        <w:rPr>
          <w:rFonts w:ascii="Arial" w:hAnsi="Arial" w:cs="Arial"/>
          <w:b/>
          <w:bCs/>
          <w:u w:val="single"/>
          <w:lang w:val="en-GB"/>
        </w:rPr>
        <w:t>Prediction of VOD/SOS</w:t>
      </w:r>
    </w:p>
    <w:p w14:paraId="3EF2297A" w14:textId="25ECB41A" w:rsidR="00371750" w:rsidRDefault="00C57853" w:rsidP="004F5FA4">
      <w:pPr>
        <w:spacing w:line="360" w:lineRule="auto"/>
        <w:jc w:val="both"/>
        <w:rPr>
          <w:rFonts w:ascii="Arial" w:hAnsi="Arial" w:cs="Arial"/>
          <w:lang w:val="en-GB"/>
        </w:rPr>
      </w:pPr>
      <w:r w:rsidRPr="00BA3910">
        <w:rPr>
          <w:rFonts w:ascii="Arial" w:hAnsi="Arial" w:cs="Arial"/>
          <w:b/>
          <w:bCs/>
          <w:color w:val="161719"/>
          <w:highlight w:val="cyan"/>
          <w:shd w:val="clear" w:color="auto" w:fill="FFFFFF"/>
          <w:lang w:val="en-GB"/>
        </w:rPr>
        <w:t>Table 4</w:t>
      </w:r>
      <w:r w:rsidRPr="00BA3910">
        <w:rPr>
          <w:rFonts w:ascii="Arial" w:hAnsi="Arial" w:cs="Arial"/>
          <w:b/>
          <w:bCs/>
          <w:color w:val="161719"/>
          <w:shd w:val="clear" w:color="auto" w:fill="FFFFFF"/>
          <w:lang w:val="en-GB"/>
        </w:rPr>
        <w:t xml:space="preserve"> </w:t>
      </w:r>
      <w:r w:rsidRPr="00BA3910">
        <w:rPr>
          <w:rFonts w:ascii="Arial" w:hAnsi="Arial" w:cs="Arial"/>
          <w:color w:val="161719"/>
          <w:shd w:val="clear" w:color="auto" w:fill="FFFFFF"/>
          <w:lang w:val="en-GB"/>
        </w:rPr>
        <w:t>report</w:t>
      </w:r>
      <w:r w:rsidR="00371750">
        <w:rPr>
          <w:rFonts w:ascii="Arial" w:hAnsi="Arial" w:cs="Arial"/>
          <w:color w:val="161719"/>
          <w:shd w:val="clear" w:color="auto" w:fill="FFFFFF"/>
          <w:lang w:val="en-GB"/>
        </w:rPr>
        <w:t>ed</w:t>
      </w:r>
      <w:r w:rsidRPr="00BA3910">
        <w:rPr>
          <w:rFonts w:ascii="Arial" w:hAnsi="Arial" w:cs="Arial"/>
          <w:color w:val="161719"/>
          <w:shd w:val="clear" w:color="auto" w:fill="FFFFFF"/>
          <w:lang w:val="en-GB"/>
        </w:rPr>
        <w:t xml:space="preserve"> the </w:t>
      </w:r>
      <w:r w:rsidR="00371750" w:rsidRPr="00BA3910">
        <w:rPr>
          <w:rFonts w:ascii="Arial" w:hAnsi="Arial" w:cs="Arial"/>
          <w:color w:val="161719"/>
          <w:shd w:val="clear" w:color="auto" w:fill="FFFFFF"/>
          <w:lang w:val="en-GB"/>
        </w:rPr>
        <w:t xml:space="preserve">univariate </w:t>
      </w:r>
      <w:r w:rsidR="00371750">
        <w:rPr>
          <w:rFonts w:ascii="Arial" w:hAnsi="Arial" w:cs="Arial"/>
          <w:lang w:val="en-GB"/>
        </w:rPr>
        <w:t>c</w:t>
      </w:r>
      <w:r w:rsidR="00371750" w:rsidRPr="007B47AB">
        <w:rPr>
          <w:rFonts w:ascii="Arial" w:hAnsi="Arial" w:cs="Arial"/>
          <w:lang w:val="en-GB"/>
        </w:rPr>
        <w:t xml:space="preserve">ompeting risk regression </w:t>
      </w:r>
      <w:r w:rsidR="00371750">
        <w:rPr>
          <w:rFonts w:ascii="Arial" w:hAnsi="Arial" w:cs="Arial"/>
          <w:color w:val="161719"/>
          <w:shd w:val="clear" w:color="auto" w:fill="FFFFFF"/>
          <w:lang w:val="en-GB"/>
        </w:rPr>
        <w:t xml:space="preserve">analysis </w:t>
      </w:r>
      <w:r w:rsidRPr="00BA3910">
        <w:rPr>
          <w:rFonts w:ascii="Arial" w:hAnsi="Arial" w:cs="Arial"/>
          <w:color w:val="161719"/>
          <w:shd w:val="clear" w:color="auto" w:fill="FFFFFF"/>
          <w:lang w:val="en-GB"/>
        </w:rPr>
        <w:t xml:space="preserve">of the predictive factors associated with </w:t>
      </w:r>
      <w:r w:rsidR="007B47AB">
        <w:rPr>
          <w:rFonts w:ascii="Arial" w:hAnsi="Arial" w:cs="Arial"/>
          <w:color w:val="161719"/>
          <w:shd w:val="clear" w:color="auto" w:fill="FFFFFF"/>
          <w:lang w:val="en-GB"/>
        </w:rPr>
        <w:t>VOD/SOS</w:t>
      </w:r>
      <w:r w:rsidRPr="00BA3910">
        <w:rPr>
          <w:rFonts w:ascii="Arial" w:hAnsi="Arial" w:cs="Arial"/>
          <w:color w:val="161719"/>
          <w:shd w:val="clear" w:color="auto" w:fill="FFFFFF"/>
          <w:lang w:val="en-GB"/>
        </w:rPr>
        <w:t xml:space="preserve"> after </w:t>
      </w:r>
      <w:r w:rsidR="00F64ADD" w:rsidRPr="00BA3910">
        <w:rPr>
          <w:rFonts w:ascii="Arial" w:hAnsi="Arial" w:cs="Arial"/>
          <w:color w:val="161719"/>
          <w:shd w:val="clear" w:color="auto" w:fill="FFFFFF"/>
          <w:lang w:val="en-GB"/>
        </w:rPr>
        <w:t>HSCT</w:t>
      </w:r>
      <w:r w:rsidR="00371750">
        <w:rPr>
          <w:rFonts w:ascii="Arial" w:hAnsi="Arial" w:cs="Arial"/>
          <w:color w:val="161719"/>
          <w:shd w:val="clear" w:color="auto" w:fill="FFFFFF"/>
          <w:lang w:val="en-GB"/>
        </w:rPr>
        <w:t>.</w:t>
      </w:r>
      <w:r w:rsidR="00592033">
        <w:rPr>
          <w:rFonts w:ascii="Arial" w:hAnsi="Arial" w:cs="Arial"/>
          <w:color w:val="161719"/>
          <w:shd w:val="clear" w:color="auto" w:fill="FFFFFF"/>
          <w:lang w:val="en-GB"/>
        </w:rPr>
        <w:t xml:space="preserve"> </w:t>
      </w:r>
      <w:r w:rsidR="00371750">
        <w:rPr>
          <w:rFonts w:ascii="Arial" w:hAnsi="Arial" w:cs="Arial"/>
          <w:lang w:val="en-GB"/>
        </w:rPr>
        <w:t>Across these variables, only the type of cohort (adults vs p</w:t>
      </w:r>
      <w:r w:rsidR="000C3B60">
        <w:rPr>
          <w:rFonts w:ascii="Arial" w:hAnsi="Arial" w:cs="Arial"/>
          <w:lang w:val="en-GB"/>
        </w:rPr>
        <w:t>aediatrics patients), the acute lymphoblastic leukaemia, conditioning regimens based on busulphan or melphalan, GvHD prophylaxis based on ex-vivo T cell depletion, previous abdominal irradiation and/or previous therapy with Gentuzumab or Inotuzumab were indep</w:t>
      </w:r>
      <w:r w:rsidR="00371750">
        <w:rPr>
          <w:rFonts w:ascii="Arial" w:hAnsi="Arial" w:cs="Arial"/>
          <w:color w:val="161719"/>
          <w:shd w:val="clear" w:color="auto" w:fill="FFFFFF"/>
          <w:lang w:val="en-GB"/>
        </w:rPr>
        <w:t>endently associated to VOD/SOD</w:t>
      </w:r>
      <w:r w:rsidR="008021F9">
        <w:rPr>
          <w:rFonts w:ascii="Arial" w:hAnsi="Arial" w:cs="Arial"/>
          <w:color w:val="161719"/>
          <w:shd w:val="clear" w:color="auto" w:fill="FFFFFF"/>
          <w:lang w:val="en-GB"/>
        </w:rPr>
        <w:t xml:space="preserve"> in </w:t>
      </w:r>
      <w:r w:rsidR="00EA2DD4">
        <w:rPr>
          <w:rFonts w:ascii="Arial" w:hAnsi="Arial" w:cs="Arial"/>
          <w:color w:val="161719"/>
          <w:shd w:val="clear" w:color="auto" w:fill="FFFFFF"/>
          <w:lang w:val="en-GB"/>
        </w:rPr>
        <w:t xml:space="preserve">the </w:t>
      </w:r>
      <w:r w:rsidR="008021F9">
        <w:rPr>
          <w:rFonts w:ascii="Arial" w:hAnsi="Arial" w:cs="Arial"/>
          <w:color w:val="161719"/>
          <w:shd w:val="clear" w:color="auto" w:fill="FFFFFF"/>
          <w:lang w:val="en-GB"/>
        </w:rPr>
        <w:t>multivariate model</w:t>
      </w:r>
      <w:r w:rsidR="00371750">
        <w:rPr>
          <w:rFonts w:ascii="Arial" w:hAnsi="Arial" w:cs="Arial"/>
          <w:color w:val="161719"/>
          <w:shd w:val="clear" w:color="auto" w:fill="FFFFFF"/>
          <w:lang w:val="en-GB"/>
        </w:rPr>
        <w:t xml:space="preserve">. </w:t>
      </w:r>
    </w:p>
    <w:p w14:paraId="483C135B" w14:textId="77777777" w:rsidR="0094447F" w:rsidRDefault="0094447F" w:rsidP="004F5FA4">
      <w:pPr>
        <w:spacing w:line="360" w:lineRule="auto"/>
        <w:jc w:val="both"/>
        <w:rPr>
          <w:rFonts w:ascii="Arial" w:hAnsi="Arial" w:cs="Arial"/>
          <w:b/>
          <w:bCs/>
          <w:u w:val="single"/>
          <w:lang w:val="en-GB"/>
        </w:rPr>
      </w:pPr>
    </w:p>
    <w:p w14:paraId="0B7F9FCC" w14:textId="6AF4B120" w:rsidR="004F5FA4" w:rsidRPr="00BA3910" w:rsidRDefault="004F5FA4" w:rsidP="004F5FA4">
      <w:pPr>
        <w:spacing w:line="360" w:lineRule="auto"/>
        <w:jc w:val="both"/>
        <w:rPr>
          <w:rFonts w:ascii="Arial" w:hAnsi="Arial" w:cs="Arial"/>
          <w:b/>
          <w:bCs/>
          <w:u w:val="single"/>
          <w:lang w:val="en-GB"/>
        </w:rPr>
      </w:pPr>
      <w:r w:rsidRPr="00BA3910">
        <w:rPr>
          <w:rFonts w:ascii="Arial" w:hAnsi="Arial" w:cs="Arial"/>
          <w:b/>
          <w:bCs/>
          <w:u w:val="single"/>
          <w:lang w:val="en-GB"/>
        </w:rPr>
        <w:t xml:space="preserve">Liver Stiffness </w:t>
      </w:r>
      <w:r w:rsidR="005C3447">
        <w:rPr>
          <w:rFonts w:ascii="Arial" w:hAnsi="Arial" w:cs="Arial"/>
          <w:b/>
          <w:bCs/>
          <w:u w:val="single"/>
          <w:lang w:val="en-GB"/>
        </w:rPr>
        <w:t xml:space="preserve">measurement </w:t>
      </w:r>
      <w:r w:rsidRPr="00BA3910">
        <w:rPr>
          <w:rFonts w:ascii="Arial" w:hAnsi="Arial" w:cs="Arial"/>
          <w:b/>
          <w:bCs/>
          <w:u w:val="single"/>
          <w:lang w:val="en-GB"/>
        </w:rPr>
        <w:t xml:space="preserve">can diagnose </w:t>
      </w:r>
      <w:r w:rsidR="007B47AB">
        <w:rPr>
          <w:rFonts w:ascii="Arial" w:hAnsi="Arial" w:cs="Arial"/>
          <w:b/>
          <w:bCs/>
          <w:u w:val="single"/>
          <w:lang w:val="en-GB"/>
        </w:rPr>
        <w:t>VOD/SOS</w:t>
      </w:r>
      <w:r w:rsidR="00EA661B">
        <w:rPr>
          <w:rFonts w:ascii="Arial" w:hAnsi="Arial" w:cs="Arial"/>
          <w:b/>
          <w:bCs/>
          <w:u w:val="single"/>
          <w:lang w:val="en-GB"/>
        </w:rPr>
        <w:t>.</w:t>
      </w:r>
    </w:p>
    <w:p w14:paraId="48AA1D67" w14:textId="43BE26CC" w:rsidR="00981EC0" w:rsidRPr="00BA3910" w:rsidRDefault="00052B5C" w:rsidP="002D5455">
      <w:pPr>
        <w:spacing w:line="360" w:lineRule="auto"/>
        <w:jc w:val="both"/>
        <w:rPr>
          <w:rFonts w:ascii="Arial" w:hAnsi="Arial" w:cs="Arial"/>
          <w:color w:val="161719"/>
          <w:shd w:val="clear" w:color="auto" w:fill="FFFFFF"/>
          <w:lang w:val="en-GB"/>
        </w:rPr>
      </w:pPr>
      <w:r w:rsidRPr="00BA3910">
        <w:rPr>
          <w:rFonts w:ascii="Arial" w:hAnsi="Arial" w:cs="Arial"/>
          <w:color w:val="161719"/>
          <w:shd w:val="clear" w:color="auto" w:fill="FFFFFF"/>
          <w:lang w:val="en-GB"/>
        </w:rPr>
        <w:t xml:space="preserve">Among the 929 patients analysed, LSM was predominantly performed using </w:t>
      </w:r>
      <w:r w:rsidR="005C3447">
        <w:rPr>
          <w:rFonts w:ascii="Arial" w:hAnsi="Arial" w:cs="Arial"/>
          <w:color w:val="161719"/>
          <w:shd w:val="clear" w:color="auto" w:fill="FFFFFF"/>
          <w:lang w:val="en-GB"/>
        </w:rPr>
        <w:t xml:space="preserve">the </w:t>
      </w:r>
      <w:r w:rsidRPr="00BA3910">
        <w:rPr>
          <w:rFonts w:ascii="Arial" w:hAnsi="Arial" w:cs="Arial"/>
          <w:color w:val="161719"/>
          <w:shd w:val="clear" w:color="auto" w:fill="FFFFFF"/>
          <w:lang w:val="en-GB"/>
        </w:rPr>
        <w:t xml:space="preserve">TE technique, accounting for 76.4% of the cases. The remaining patients underwent LSM by p-SWE (13.6%) and 2D-SWE (10%). </w:t>
      </w:r>
      <w:r w:rsidR="00981EC0" w:rsidRPr="00BA3910">
        <w:rPr>
          <w:rFonts w:ascii="Arial" w:hAnsi="Arial" w:cs="Arial"/>
          <w:color w:val="161719"/>
          <w:shd w:val="clear" w:color="auto" w:fill="FFFFFF"/>
          <w:lang w:val="en-GB"/>
        </w:rPr>
        <w:t xml:space="preserve">Specifically, LSM was recorded by kPa in 835 patients who had 46 </w:t>
      </w:r>
      <w:r w:rsidR="007B47AB">
        <w:rPr>
          <w:rFonts w:ascii="Arial" w:hAnsi="Arial" w:cs="Arial"/>
          <w:color w:val="161719"/>
          <w:shd w:val="clear" w:color="auto" w:fill="FFFFFF"/>
          <w:lang w:val="en-GB"/>
        </w:rPr>
        <w:t>VOD/SOS</w:t>
      </w:r>
      <w:r w:rsidR="00981EC0" w:rsidRPr="00BA3910">
        <w:rPr>
          <w:rFonts w:ascii="Arial" w:hAnsi="Arial" w:cs="Arial"/>
          <w:color w:val="161719"/>
          <w:shd w:val="clear" w:color="auto" w:fill="FFFFFF"/>
          <w:lang w:val="en-GB"/>
        </w:rPr>
        <w:t xml:space="preserve">, while LSM was recorded by m/sec in 94 patients who had 4 </w:t>
      </w:r>
      <w:r w:rsidR="007B47AB">
        <w:rPr>
          <w:rFonts w:ascii="Arial" w:hAnsi="Arial" w:cs="Arial"/>
          <w:color w:val="161719"/>
          <w:shd w:val="clear" w:color="auto" w:fill="FFFFFF"/>
          <w:lang w:val="en-GB"/>
        </w:rPr>
        <w:t>VOD/SOS</w:t>
      </w:r>
      <w:r w:rsidR="00981EC0" w:rsidRPr="00BA3910">
        <w:rPr>
          <w:rFonts w:ascii="Arial" w:hAnsi="Arial" w:cs="Arial"/>
          <w:color w:val="161719"/>
          <w:shd w:val="clear" w:color="auto" w:fill="FFFFFF"/>
          <w:lang w:val="en-GB"/>
        </w:rPr>
        <w:t xml:space="preserve">. </w:t>
      </w:r>
      <w:r w:rsidR="005C3447">
        <w:rPr>
          <w:rFonts w:ascii="Arial" w:hAnsi="Arial" w:cs="Arial"/>
          <w:color w:val="161719"/>
          <w:shd w:val="clear" w:color="auto" w:fill="FFFFFF"/>
          <w:lang w:val="en-GB"/>
        </w:rPr>
        <w:t xml:space="preserve"> </w:t>
      </w:r>
      <w:r w:rsidR="000636FC" w:rsidRPr="00BA3910">
        <w:rPr>
          <w:rFonts w:ascii="Arial" w:hAnsi="Arial" w:cs="Arial"/>
          <w:color w:val="161719"/>
          <w:shd w:val="clear" w:color="auto" w:fill="FFFFFF"/>
          <w:lang w:val="en-GB"/>
        </w:rPr>
        <w:t xml:space="preserve">Prior to </w:t>
      </w:r>
      <w:r w:rsidR="00F64ADD" w:rsidRPr="00BA3910">
        <w:rPr>
          <w:rFonts w:ascii="Arial" w:hAnsi="Arial" w:cs="Arial"/>
          <w:color w:val="161719"/>
          <w:shd w:val="clear" w:color="auto" w:fill="FFFFFF"/>
          <w:lang w:val="en-GB"/>
        </w:rPr>
        <w:t>HSCT</w:t>
      </w:r>
      <w:r w:rsidR="000636FC" w:rsidRPr="00BA3910">
        <w:rPr>
          <w:rFonts w:ascii="Arial" w:hAnsi="Arial" w:cs="Arial"/>
          <w:color w:val="161719"/>
          <w:shd w:val="clear" w:color="auto" w:fill="FFFFFF"/>
          <w:lang w:val="en-GB"/>
        </w:rPr>
        <w:t xml:space="preserve">, both the LSM measured in </w:t>
      </w:r>
      <w:r w:rsidR="00CD25CF" w:rsidRPr="00BA3910">
        <w:rPr>
          <w:rFonts w:ascii="Arial" w:hAnsi="Arial" w:cs="Arial"/>
          <w:color w:val="161719"/>
          <w:shd w:val="clear" w:color="auto" w:fill="FFFFFF"/>
          <w:lang w:val="en-GB"/>
        </w:rPr>
        <w:t>kPa</w:t>
      </w:r>
      <w:r w:rsidR="000636FC" w:rsidRPr="00BA3910">
        <w:rPr>
          <w:rFonts w:ascii="Arial" w:hAnsi="Arial" w:cs="Arial"/>
          <w:color w:val="161719"/>
          <w:shd w:val="clear" w:color="auto" w:fill="FFFFFF"/>
          <w:lang w:val="en-GB"/>
        </w:rPr>
        <w:t xml:space="preserve"> and m/sec did not differ in patients with (5 kPa [IQR 4.3 – 6.4 kPa]; 1.02 m/sec [IQR 0.8-1.15 m/sec]) and without (4.9 kPa [IQR 3.9 – 6.1 kPa]; 1.19 m/sec [IQR 1.01-1.43 m/sec]) occurrence of </w:t>
      </w:r>
      <w:r w:rsidR="007B47AB">
        <w:rPr>
          <w:rFonts w:ascii="Arial" w:hAnsi="Arial" w:cs="Arial"/>
          <w:color w:val="161719"/>
          <w:shd w:val="clear" w:color="auto" w:fill="FFFFFF"/>
          <w:lang w:val="en-GB"/>
        </w:rPr>
        <w:t>VOD/SOS</w:t>
      </w:r>
      <w:r w:rsidR="000636FC" w:rsidRPr="00BA3910">
        <w:rPr>
          <w:rFonts w:ascii="Arial" w:hAnsi="Arial" w:cs="Arial"/>
          <w:color w:val="161719"/>
          <w:shd w:val="clear" w:color="auto" w:fill="FFFFFF"/>
          <w:lang w:val="en-GB"/>
        </w:rPr>
        <w:t xml:space="preserve">. </w:t>
      </w:r>
    </w:p>
    <w:p w14:paraId="4136D567" w14:textId="70F88A73" w:rsidR="006D25A0" w:rsidRPr="00BA3910" w:rsidRDefault="00CD25CF" w:rsidP="005557B7">
      <w:pPr>
        <w:spacing w:line="360" w:lineRule="auto"/>
        <w:jc w:val="both"/>
        <w:rPr>
          <w:rFonts w:ascii="Arial" w:hAnsi="Arial" w:cs="Arial"/>
          <w:color w:val="161719"/>
          <w:shd w:val="clear" w:color="auto" w:fill="FFFFFF"/>
          <w:lang w:val="en-GB"/>
        </w:rPr>
      </w:pPr>
      <w:r w:rsidRPr="00BA3910">
        <w:rPr>
          <w:rFonts w:ascii="Arial" w:hAnsi="Arial" w:cs="Arial"/>
          <w:b/>
          <w:bCs/>
          <w:color w:val="161719"/>
          <w:highlight w:val="yellow"/>
          <w:shd w:val="clear" w:color="auto" w:fill="FFFFFF"/>
          <w:lang w:val="en-GB"/>
        </w:rPr>
        <w:t>Figure 3</w:t>
      </w:r>
      <w:r w:rsidRPr="00BA3910">
        <w:rPr>
          <w:rFonts w:ascii="Arial" w:hAnsi="Arial" w:cs="Arial"/>
          <w:color w:val="161719"/>
          <w:shd w:val="clear" w:color="auto" w:fill="FFFFFF"/>
          <w:lang w:val="en-GB"/>
        </w:rPr>
        <w:t xml:space="preserve"> showed that LSM differed significantly at each time point after </w:t>
      </w:r>
      <w:r w:rsidR="00F64ADD" w:rsidRPr="00BA3910">
        <w:rPr>
          <w:rFonts w:ascii="Arial" w:hAnsi="Arial" w:cs="Arial"/>
          <w:color w:val="161719"/>
          <w:shd w:val="clear" w:color="auto" w:fill="FFFFFF"/>
          <w:lang w:val="en-GB"/>
        </w:rPr>
        <w:t>HSCT</w:t>
      </w:r>
      <w:r w:rsidRPr="00BA3910">
        <w:rPr>
          <w:rFonts w:ascii="Arial" w:hAnsi="Arial" w:cs="Arial"/>
          <w:color w:val="161719"/>
          <w:shd w:val="clear" w:color="auto" w:fill="FFFFFF"/>
          <w:lang w:val="en-GB"/>
        </w:rPr>
        <w:t xml:space="preserve"> in patients with </w:t>
      </w:r>
      <w:r w:rsidR="000D1ED3" w:rsidRPr="00BA3910">
        <w:rPr>
          <w:rFonts w:ascii="Arial" w:hAnsi="Arial" w:cs="Arial"/>
          <w:color w:val="161719"/>
          <w:shd w:val="clear" w:color="auto" w:fill="FFFFFF"/>
          <w:lang w:val="en-GB"/>
        </w:rPr>
        <w:t>VOD/SOS</w:t>
      </w:r>
      <w:r w:rsidRPr="00BA3910">
        <w:rPr>
          <w:rFonts w:ascii="Arial" w:hAnsi="Arial" w:cs="Arial"/>
          <w:color w:val="161719"/>
          <w:shd w:val="clear" w:color="auto" w:fill="FFFFFF"/>
          <w:lang w:val="en-GB"/>
        </w:rPr>
        <w:t xml:space="preserve"> (3A) and across the severity </w:t>
      </w:r>
      <w:r w:rsidR="00245D9E">
        <w:rPr>
          <w:rFonts w:ascii="Arial" w:hAnsi="Arial" w:cs="Arial"/>
          <w:color w:val="161719"/>
          <w:shd w:val="clear" w:color="auto" w:fill="FFFFFF"/>
          <w:lang w:val="en-GB"/>
        </w:rPr>
        <w:t>grades</w:t>
      </w:r>
      <w:r w:rsidR="00245D9E" w:rsidRPr="00BA3910">
        <w:rPr>
          <w:rFonts w:ascii="Arial" w:hAnsi="Arial" w:cs="Arial"/>
          <w:color w:val="161719"/>
          <w:shd w:val="clear" w:color="auto" w:fill="FFFFFF"/>
          <w:lang w:val="en-GB"/>
        </w:rPr>
        <w:t xml:space="preserve"> </w:t>
      </w:r>
      <w:r w:rsidRPr="00BA3910">
        <w:rPr>
          <w:rFonts w:ascii="Arial" w:hAnsi="Arial" w:cs="Arial"/>
          <w:color w:val="161719"/>
          <w:shd w:val="clear" w:color="auto" w:fill="FFFFFF"/>
          <w:lang w:val="en-GB"/>
        </w:rPr>
        <w:t xml:space="preserve">of </w:t>
      </w:r>
      <w:r w:rsidR="007B47AB">
        <w:rPr>
          <w:rFonts w:ascii="Arial" w:hAnsi="Arial" w:cs="Arial"/>
          <w:color w:val="161719"/>
          <w:shd w:val="clear" w:color="auto" w:fill="FFFFFF"/>
          <w:lang w:val="en-GB"/>
        </w:rPr>
        <w:t>VOD/SOS</w:t>
      </w:r>
      <w:r w:rsidRPr="00BA3910">
        <w:rPr>
          <w:rFonts w:ascii="Arial" w:hAnsi="Arial" w:cs="Arial"/>
          <w:color w:val="161719"/>
          <w:shd w:val="clear" w:color="auto" w:fill="FFFFFF"/>
          <w:lang w:val="en-GB"/>
        </w:rPr>
        <w:t xml:space="preserve"> (3B). </w:t>
      </w:r>
      <w:r w:rsidR="005557B7" w:rsidRPr="00BA3910">
        <w:rPr>
          <w:rFonts w:ascii="Arial" w:hAnsi="Arial" w:cs="Arial"/>
          <w:color w:val="161719"/>
          <w:shd w:val="clear" w:color="auto" w:fill="FFFFFF"/>
          <w:lang w:val="en-GB"/>
        </w:rPr>
        <w:t xml:space="preserve">At the diagnosis of </w:t>
      </w:r>
      <w:r w:rsidR="007B47AB">
        <w:rPr>
          <w:rFonts w:ascii="Arial" w:hAnsi="Arial" w:cs="Arial"/>
          <w:color w:val="161719"/>
          <w:shd w:val="clear" w:color="auto" w:fill="FFFFFF"/>
          <w:lang w:val="en-GB"/>
        </w:rPr>
        <w:t>VOD/SOS</w:t>
      </w:r>
      <w:r w:rsidR="005557B7" w:rsidRPr="00BA3910">
        <w:rPr>
          <w:rFonts w:ascii="Arial" w:hAnsi="Arial" w:cs="Arial"/>
          <w:color w:val="161719"/>
          <w:shd w:val="clear" w:color="auto" w:fill="FFFFFF"/>
          <w:lang w:val="en-GB"/>
        </w:rPr>
        <w:t xml:space="preserve">, LSM was </w:t>
      </w:r>
      <w:r w:rsidR="004348C3">
        <w:rPr>
          <w:rFonts w:ascii="Arial" w:hAnsi="Arial" w:cs="Arial"/>
          <w:color w:val="161719"/>
          <w:shd w:val="clear" w:color="auto" w:fill="FFFFFF"/>
          <w:lang w:val="en-GB"/>
        </w:rPr>
        <w:t xml:space="preserve">significantly associated with </w:t>
      </w:r>
      <w:r w:rsidR="005557B7" w:rsidRPr="00BA3910">
        <w:rPr>
          <w:rFonts w:ascii="Arial" w:hAnsi="Arial" w:cs="Arial"/>
          <w:color w:val="161719"/>
          <w:shd w:val="clear" w:color="auto" w:fill="FFFFFF"/>
          <w:lang w:val="en-GB"/>
        </w:rPr>
        <w:t>the severity of the disease</w:t>
      </w:r>
      <w:r w:rsidR="004348C3">
        <w:rPr>
          <w:rFonts w:ascii="Arial" w:hAnsi="Arial" w:cs="Arial"/>
          <w:color w:val="161719"/>
          <w:shd w:val="clear" w:color="auto" w:fill="FFFFFF"/>
          <w:lang w:val="en-GB"/>
        </w:rPr>
        <w:t>: t</w:t>
      </w:r>
      <w:r w:rsidR="005557B7" w:rsidRPr="00BA3910">
        <w:rPr>
          <w:rFonts w:ascii="Arial" w:hAnsi="Arial" w:cs="Arial"/>
          <w:color w:val="161719"/>
          <w:shd w:val="clear" w:color="auto" w:fill="FFFFFF"/>
          <w:lang w:val="en-GB"/>
        </w:rPr>
        <w:t xml:space="preserve">he values increased from 13.8 kPa [7.4 - 26.2], 19.4 kPa [14.6 - 32 kPa], 26.3 [12.4 - 39.7 kPa], and +27.4 [22 - 28.4 kPa] in mild, moderate, severe, and very severe forms respectively. </w:t>
      </w:r>
      <w:r w:rsidR="00DC394B" w:rsidRPr="00BA3910">
        <w:rPr>
          <w:rFonts w:ascii="Arial" w:hAnsi="Arial" w:cs="Arial"/>
          <w:color w:val="161719"/>
          <w:shd w:val="clear" w:color="auto" w:fill="FFFFFF"/>
          <w:lang w:val="en-GB"/>
        </w:rPr>
        <w:t xml:space="preserve">We found </w:t>
      </w:r>
      <w:r w:rsidR="007E582B" w:rsidRPr="00BA3910">
        <w:rPr>
          <w:rFonts w:ascii="Arial" w:hAnsi="Arial" w:cs="Arial"/>
          <w:color w:val="161719"/>
          <w:shd w:val="clear" w:color="auto" w:fill="FFFFFF"/>
          <w:lang w:val="en-GB"/>
        </w:rPr>
        <w:t xml:space="preserve">the </w:t>
      </w:r>
      <w:r w:rsidR="00DC394B" w:rsidRPr="00BA3910">
        <w:rPr>
          <w:rFonts w:ascii="Arial" w:hAnsi="Arial" w:cs="Arial"/>
          <w:color w:val="161719"/>
          <w:shd w:val="clear" w:color="auto" w:fill="FFFFFF"/>
          <w:lang w:val="en-GB"/>
        </w:rPr>
        <w:t xml:space="preserve">high diagnostic performance of LSM for </w:t>
      </w:r>
      <w:r w:rsidR="007E582B" w:rsidRPr="00BA3910">
        <w:rPr>
          <w:rFonts w:ascii="Arial" w:hAnsi="Arial" w:cs="Arial"/>
          <w:color w:val="161719"/>
          <w:shd w:val="clear" w:color="auto" w:fill="FFFFFF"/>
          <w:lang w:val="en-GB"/>
        </w:rPr>
        <w:t xml:space="preserve">the </w:t>
      </w:r>
      <w:r w:rsidR="00DC394B" w:rsidRPr="00BA3910">
        <w:rPr>
          <w:rFonts w:ascii="Arial" w:hAnsi="Arial" w:cs="Arial"/>
          <w:color w:val="161719"/>
          <w:shd w:val="clear" w:color="auto" w:fill="FFFFFF"/>
          <w:lang w:val="en-GB"/>
        </w:rPr>
        <w:t xml:space="preserve">diagnosis of </w:t>
      </w:r>
      <w:r w:rsidR="007B47AB">
        <w:rPr>
          <w:rFonts w:ascii="Arial" w:hAnsi="Arial" w:cs="Arial"/>
          <w:color w:val="161719"/>
          <w:shd w:val="clear" w:color="auto" w:fill="FFFFFF"/>
          <w:lang w:val="en-GB"/>
        </w:rPr>
        <w:t>VOD/SOS</w:t>
      </w:r>
      <w:r w:rsidR="00DC394B" w:rsidRPr="00BA3910">
        <w:rPr>
          <w:rFonts w:ascii="Arial" w:hAnsi="Arial" w:cs="Arial"/>
          <w:color w:val="161719"/>
          <w:shd w:val="clear" w:color="auto" w:fill="FFFFFF"/>
          <w:lang w:val="en-GB"/>
        </w:rPr>
        <w:t xml:space="preserve"> with an area under ROC of 0.9747 [95% CI 0.9477 – 1.000] using kPa and of 0.9542 [95% CI 0.8975 – 1.000] using m/sec (</w:t>
      </w:r>
      <w:r w:rsidR="00DC394B" w:rsidRPr="00BA3910">
        <w:rPr>
          <w:rFonts w:ascii="Arial" w:hAnsi="Arial" w:cs="Arial"/>
          <w:b/>
          <w:bCs/>
          <w:color w:val="161719"/>
          <w:highlight w:val="magenta"/>
          <w:shd w:val="clear" w:color="auto" w:fill="FFFFFF"/>
          <w:lang w:val="en-GB"/>
        </w:rPr>
        <w:t>appendix</w:t>
      </w:r>
      <w:r w:rsidR="00DC394B" w:rsidRPr="00BA3910">
        <w:rPr>
          <w:rFonts w:ascii="Arial" w:hAnsi="Arial" w:cs="Arial"/>
          <w:color w:val="161719"/>
          <w:shd w:val="clear" w:color="auto" w:fill="FFFFFF"/>
          <w:lang w:val="en-GB"/>
        </w:rPr>
        <w:t xml:space="preserve">). </w:t>
      </w:r>
      <w:r w:rsidR="001640F6" w:rsidRPr="00BA3910">
        <w:rPr>
          <w:rFonts w:ascii="Arial" w:hAnsi="Arial" w:cs="Arial"/>
          <w:color w:val="161719"/>
          <w:shd w:val="clear" w:color="auto" w:fill="FFFFFF"/>
          <w:lang w:val="en-GB"/>
        </w:rPr>
        <w:t xml:space="preserve">Using ROC optimisation, we determined </w:t>
      </w:r>
      <w:r w:rsidR="006D25A0" w:rsidRPr="00BA3910">
        <w:rPr>
          <w:rFonts w:ascii="Arial" w:hAnsi="Arial" w:cs="Arial"/>
          <w:color w:val="161719"/>
          <w:shd w:val="clear" w:color="auto" w:fill="FFFFFF"/>
          <w:lang w:val="en-GB"/>
        </w:rPr>
        <w:t>the</w:t>
      </w:r>
      <w:r w:rsidR="001640F6" w:rsidRPr="00BA3910">
        <w:rPr>
          <w:rFonts w:ascii="Arial" w:hAnsi="Arial" w:cs="Arial"/>
          <w:color w:val="161719"/>
          <w:shd w:val="clear" w:color="auto" w:fill="FFFFFF"/>
          <w:lang w:val="en-GB"/>
        </w:rPr>
        <w:t xml:space="preserve"> </w:t>
      </w:r>
      <w:r w:rsidR="00375105" w:rsidRPr="00BA3910">
        <w:rPr>
          <w:rFonts w:ascii="Arial" w:hAnsi="Arial" w:cs="Arial"/>
          <w:color w:val="161719"/>
          <w:shd w:val="clear" w:color="auto" w:fill="FFFFFF"/>
          <w:lang w:val="en-GB"/>
        </w:rPr>
        <w:t xml:space="preserve">best cut-off by Youden index of 9.5 kPa, a </w:t>
      </w:r>
      <w:r w:rsidR="001640F6" w:rsidRPr="00BA3910">
        <w:rPr>
          <w:rFonts w:ascii="Arial" w:hAnsi="Arial" w:cs="Arial"/>
          <w:color w:val="161719"/>
          <w:shd w:val="clear" w:color="auto" w:fill="FFFFFF"/>
          <w:lang w:val="en-GB"/>
        </w:rPr>
        <w:t xml:space="preserve">cut-off value of 6 kPa to rule out </w:t>
      </w:r>
      <w:r w:rsidR="007B47AB">
        <w:rPr>
          <w:rFonts w:ascii="Arial" w:hAnsi="Arial" w:cs="Arial"/>
          <w:color w:val="161719"/>
          <w:shd w:val="clear" w:color="auto" w:fill="FFFFFF"/>
          <w:lang w:val="en-GB"/>
        </w:rPr>
        <w:t>VOD/SOS</w:t>
      </w:r>
      <w:r w:rsidR="001640F6" w:rsidRPr="00BA3910">
        <w:rPr>
          <w:rFonts w:ascii="Arial" w:hAnsi="Arial" w:cs="Arial"/>
          <w:color w:val="161719"/>
          <w:shd w:val="clear" w:color="auto" w:fill="FFFFFF"/>
          <w:lang w:val="en-GB"/>
        </w:rPr>
        <w:t xml:space="preserve"> with Sensitivity (Sens) ≥95% and a cut-off value of 25 kPa to rule in </w:t>
      </w:r>
      <w:r w:rsidR="007B47AB">
        <w:rPr>
          <w:rFonts w:ascii="Arial" w:hAnsi="Arial" w:cs="Arial"/>
          <w:color w:val="161719"/>
          <w:shd w:val="clear" w:color="auto" w:fill="FFFFFF"/>
          <w:lang w:val="en-GB"/>
        </w:rPr>
        <w:t>VOD/SOS</w:t>
      </w:r>
      <w:r w:rsidR="001640F6" w:rsidRPr="00BA3910">
        <w:rPr>
          <w:rFonts w:ascii="Arial" w:hAnsi="Arial" w:cs="Arial"/>
          <w:color w:val="161719"/>
          <w:shd w:val="clear" w:color="auto" w:fill="FFFFFF"/>
          <w:lang w:val="en-GB"/>
        </w:rPr>
        <w:t xml:space="preserve"> with Specificity (Spec) ≥95%. </w:t>
      </w:r>
      <w:r w:rsidR="00CC4F71" w:rsidRPr="00BA3910">
        <w:rPr>
          <w:rFonts w:ascii="Arial" w:hAnsi="Arial" w:cs="Arial"/>
          <w:color w:val="161719"/>
          <w:highlight w:val="cyan"/>
          <w:shd w:val="clear" w:color="auto" w:fill="FFFFFF"/>
          <w:lang w:val="en-GB"/>
        </w:rPr>
        <w:t xml:space="preserve">In </w:t>
      </w:r>
      <w:r w:rsidR="00CC4F71" w:rsidRPr="00BA3910">
        <w:rPr>
          <w:rFonts w:ascii="Arial" w:hAnsi="Arial" w:cs="Arial"/>
          <w:b/>
          <w:bCs/>
          <w:color w:val="161719"/>
          <w:highlight w:val="cyan"/>
          <w:shd w:val="clear" w:color="auto" w:fill="FFFFFF"/>
          <w:lang w:val="en-GB"/>
        </w:rPr>
        <w:t xml:space="preserve">Table </w:t>
      </w:r>
      <w:r w:rsidR="0066734E" w:rsidRPr="00BA3910">
        <w:rPr>
          <w:rFonts w:ascii="Arial" w:hAnsi="Arial" w:cs="Arial"/>
          <w:b/>
          <w:bCs/>
          <w:color w:val="161719"/>
          <w:highlight w:val="cyan"/>
          <w:shd w:val="clear" w:color="auto" w:fill="FFFFFF"/>
          <w:lang w:val="en-GB"/>
        </w:rPr>
        <w:t>5</w:t>
      </w:r>
      <w:r w:rsidR="00CC4F71" w:rsidRPr="00BA3910">
        <w:rPr>
          <w:rFonts w:ascii="Arial" w:hAnsi="Arial" w:cs="Arial"/>
          <w:color w:val="161719"/>
          <w:shd w:val="clear" w:color="auto" w:fill="FFFFFF"/>
          <w:lang w:val="en-GB"/>
        </w:rPr>
        <w:t>, we presented the patient</w:t>
      </w:r>
      <w:r w:rsidR="00375105" w:rsidRPr="00BA3910">
        <w:rPr>
          <w:rFonts w:ascii="Arial" w:hAnsi="Arial" w:cs="Arial"/>
          <w:color w:val="161719"/>
          <w:shd w:val="clear" w:color="auto" w:fill="FFFFFF"/>
          <w:lang w:val="en-GB"/>
        </w:rPr>
        <w:t>’</w:t>
      </w:r>
      <w:r w:rsidR="005C65DE" w:rsidRPr="00BA3910">
        <w:rPr>
          <w:rFonts w:ascii="Arial" w:hAnsi="Arial" w:cs="Arial"/>
          <w:color w:val="161719"/>
          <w:shd w:val="clear" w:color="auto" w:fill="FFFFFF"/>
          <w:lang w:val="en-GB"/>
        </w:rPr>
        <w:t>s</w:t>
      </w:r>
      <w:r w:rsidR="00CC4F71" w:rsidRPr="00BA3910">
        <w:rPr>
          <w:rFonts w:ascii="Arial" w:hAnsi="Arial" w:cs="Arial"/>
          <w:color w:val="161719"/>
          <w:shd w:val="clear" w:color="auto" w:fill="FFFFFF"/>
          <w:lang w:val="en-GB"/>
        </w:rPr>
        <w:t xml:space="preserve"> classification based on all the </w:t>
      </w:r>
      <w:r w:rsidR="00E819E5" w:rsidRPr="00BA3910">
        <w:rPr>
          <w:rFonts w:ascii="Arial" w:hAnsi="Arial" w:cs="Arial"/>
          <w:color w:val="161719"/>
          <w:shd w:val="clear" w:color="auto" w:fill="FFFFFF"/>
          <w:lang w:val="en-GB"/>
        </w:rPr>
        <w:t>operating</w:t>
      </w:r>
      <w:r w:rsidR="00CC4F71" w:rsidRPr="00BA3910">
        <w:rPr>
          <w:rFonts w:ascii="Arial" w:hAnsi="Arial" w:cs="Arial"/>
          <w:color w:val="161719"/>
          <w:shd w:val="clear" w:color="auto" w:fill="FFFFFF"/>
          <w:lang w:val="en-GB"/>
        </w:rPr>
        <w:t xml:space="preserve"> characteristics of the LSM cut-off</w:t>
      </w:r>
      <w:r w:rsidR="00E819E5" w:rsidRPr="00BA3910">
        <w:rPr>
          <w:rFonts w:ascii="Arial" w:hAnsi="Arial" w:cs="Arial"/>
          <w:color w:val="161719"/>
          <w:shd w:val="clear" w:color="auto" w:fill="FFFFFF"/>
          <w:lang w:val="en-GB"/>
        </w:rPr>
        <w:t xml:space="preserve">s and assessed by </w:t>
      </w:r>
      <w:r w:rsidR="007B47AB">
        <w:rPr>
          <w:rFonts w:ascii="Arial" w:hAnsi="Arial" w:cs="Arial"/>
          <w:color w:val="161719"/>
          <w:shd w:val="clear" w:color="auto" w:fill="FFFFFF"/>
          <w:lang w:val="en-GB"/>
        </w:rPr>
        <w:t>VOD/SOS</w:t>
      </w:r>
      <w:r w:rsidR="00E819E5" w:rsidRPr="00BA3910">
        <w:rPr>
          <w:rFonts w:ascii="Arial" w:hAnsi="Arial" w:cs="Arial"/>
          <w:color w:val="161719"/>
          <w:shd w:val="clear" w:color="auto" w:fill="FFFFFF"/>
          <w:lang w:val="en-GB"/>
        </w:rPr>
        <w:t>’s adults and p</w:t>
      </w:r>
      <w:r w:rsidR="00966508" w:rsidRPr="00BA3910">
        <w:rPr>
          <w:rFonts w:ascii="Arial" w:hAnsi="Arial" w:cs="Arial"/>
          <w:color w:val="161719"/>
          <w:shd w:val="clear" w:color="auto" w:fill="FFFFFF"/>
          <w:lang w:val="en-GB"/>
        </w:rPr>
        <w:t>a</w:t>
      </w:r>
      <w:r w:rsidR="00E819E5" w:rsidRPr="00BA3910">
        <w:rPr>
          <w:rFonts w:ascii="Arial" w:hAnsi="Arial" w:cs="Arial"/>
          <w:color w:val="161719"/>
          <w:shd w:val="clear" w:color="auto" w:fill="FFFFFF"/>
          <w:lang w:val="en-GB"/>
        </w:rPr>
        <w:t>ediatrics prevalence</w:t>
      </w:r>
      <w:r w:rsidR="00CC4F71" w:rsidRPr="00BA3910">
        <w:rPr>
          <w:rFonts w:ascii="Arial" w:hAnsi="Arial" w:cs="Arial"/>
          <w:color w:val="161719"/>
          <w:shd w:val="clear" w:color="auto" w:fill="FFFFFF"/>
          <w:lang w:val="en-GB"/>
        </w:rPr>
        <w:t xml:space="preserve">. The results revealed that by the LSM rule-out cut-off of 6 kPa, 502 out of 835 patients were correctly classified, and none of the patients with LSM ≤ 6 kPa had </w:t>
      </w:r>
      <w:r w:rsidR="007B47AB">
        <w:rPr>
          <w:rFonts w:ascii="Arial" w:hAnsi="Arial" w:cs="Arial"/>
          <w:color w:val="161719"/>
          <w:shd w:val="clear" w:color="auto" w:fill="FFFFFF"/>
          <w:lang w:val="en-GB"/>
        </w:rPr>
        <w:t>VOD/SOS</w:t>
      </w:r>
      <w:r w:rsidR="00CC4F71" w:rsidRPr="00BA3910">
        <w:rPr>
          <w:rFonts w:ascii="Arial" w:hAnsi="Arial" w:cs="Arial"/>
          <w:color w:val="161719"/>
          <w:shd w:val="clear" w:color="auto" w:fill="FFFFFF"/>
          <w:lang w:val="en-GB"/>
        </w:rPr>
        <w:t xml:space="preserve">. On the other hand, by the LSM rule-in cut-off of 25 kPa, 26 patients with </w:t>
      </w:r>
      <w:r w:rsidR="007B47AB">
        <w:rPr>
          <w:rFonts w:ascii="Arial" w:hAnsi="Arial" w:cs="Arial"/>
          <w:color w:val="161719"/>
          <w:shd w:val="clear" w:color="auto" w:fill="FFFFFF"/>
          <w:lang w:val="en-GB"/>
        </w:rPr>
        <w:t>VOD/SOS</w:t>
      </w:r>
      <w:r w:rsidR="00CC4F71" w:rsidRPr="00BA3910">
        <w:rPr>
          <w:rFonts w:ascii="Arial" w:hAnsi="Arial" w:cs="Arial"/>
          <w:color w:val="161719"/>
          <w:shd w:val="clear" w:color="auto" w:fill="FFFFFF"/>
          <w:lang w:val="en-GB"/>
        </w:rPr>
        <w:t xml:space="preserve"> were correctly identified, and only one patient was wrongly classified. We have identified that 306 patients fall into an area of uncertainty between these two cut-offs, called the "grey zone". To address this uncertainty, we suggest using a stepwise approach by calculating the difference between the LSM on the day of the diagnosis and before </w:t>
      </w:r>
      <w:r w:rsidR="00F64ADD" w:rsidRPr="00BA3910">
        <w:rPr>
          <w:rFonts w:ascii="Arial" w:hAnsi="Arial" w:cs="Arial"/>
          <w:color w:val="161719"/>
          <w:shd w:val="clear" w:color="auto" w:fill="FFFFFF"/>
          <w:lang w:val="en-GB"/>
        </w:rPr>
        <w:t>HSCT</w:t>
      </w:r>
      <w:r w:rsidR="00CC4F71" w:rsidRPr="00BA3910">
        <w:rPr>
          <w:rFonts w:ascii="Arial" w:hAnsi="Arial" w:cs="Arial"/>
          <w:color w:val="161719"/>
          <w:shd w:val="clear" w:color="auto" w:fill="FFFFFF"/>
          <w:lang w:val="en-GB"/>
        </w:rPr>
        <w:t xml:space="preserve"> (using the formula provided in the </w:t>
      </w:r>
      <w:r w:rsidR="00CC4F71" w:rsidRPr="00BA3910">
        <w:rPr>
          <w:rFonts w:ascii="Arial" w:hAnsi="Arial" w:cs="Arial"/>
          <w:b/>
          <w:bCs/>
          <w:color w:val="161719"/>
          <w:highlight w:val="magenta"/>
          <w:shd w:val="clear" w:color="auto" w:fill="FFFFFF"/>
          <w:lang w:val="en-GB"/>
        </w:rPr>
        <w:t>appendix</w:t>
      </w:r>
      <w:r w:rsidR="00CC4F71" w:rsidRPr="00BA3910">
        <w:rPr>
          <w:rFonts w:ascii="Arial" w:hAnsi="Arial" w:cs="Arial"/>
          <w:color w:val="161719"/>
          <w:shd w:val="clear" w:color="auto" w:fill="FFFFFF"/>
          <w:lang w:val="en-GB"/>
        </w:rPr>
        <w:t>). If the delta (</w:t>
      </w:r>
      <w:r w:rsidR="00CC4F71" w:rsidRPr="00BA3910">
        <w:rPr>
          <w:rFonts w:ascii="Cambria Math" w:hAnsi="Cambria Math" w:cs="Cambria Math"/>
          <w:color w:val="161719"/>
          <w:shd w:val="clear" w:color="auto" w:fill="FFFFFF"/>
          <w:lang w:val="en-GB"/>
        </w:rPr>
        <w:t>𝚫)</w:t>
      </w:r>
      <w:r w:rsidR="00CC4F71" w:rsidRPr="00BA3910">
        <w:rPr>
          <w:rFonts w:ascii="Arial" w:hAnsi="Arial" w:cs="Arial"/>
          <w:color w:val="161719"/>
          <w:shd w:val="clear" w:color="auto" w:fill="FFFFFF"/>
          <w:lang w:val="en-GB"/>
        </w:rPr>
        <w:t>LSM value is greater than or equal to 2</w:t>
      </w:r>
      <w:r w:rsidR="005C65DE" w:rsidRPr="00BA3910">
        <w:rPr>
          <w:rFonts w:ascii="Arial" w:hAnsi="Arial" w:cs="Arial"/>
          <w:color w:val="161719"/>
          <w:shd w:val="clear" w:color="auto" w:fill="FFFFFF"/>
          <w:lang w:val="en-GB"/>
        </w:rPr>
        <w:t xml:space="preserve"> (</w:t>
      </w:r>
      <w:r w:rsidR="0042380B">
        <w:rPr>
          <w:rFonts w:ascii="Arial" w:hAnsi="Arial" w:cs="Arial"/>
          <w:color w:val="161719"/>
          <w:shd w:val="clear" w:color="auto" w:fill="FFFFFF"/>
          <w:lang w:val="en-GB"/>
        </w:rPr>
        <w:t xml:space="preserve">which is equal to </w:t>
      </w:r>
      <w:r w:rsidR="005C65DE" w:rsidRPr="00BA3910">
        <w:rPr>
          <w:rFonts w:ascii="Arial" w:hAnsi="Arial" w:cs="Arial"/>
          <w:color w:val="161719"/>
          <w:shd w:val="clear" w:color="auto" w:fill="FFFFFF"/>
          <w:lang w:val="en-GB"/>
        </w:rPr>
        <w:t>three times the baseline LSM</w:t>
      </w:r>
      <w:r w:rsidR="005C3447">
        <w:rPr>
          <w:rFonts w:ascii="Arial" w:hAnsi="Arial" w:cs="Arial"/>
          <w:color w:val="161719"/>
          <w:shd w:val="clear" w:color="auto" w:fill="FFFFFF"/>
          <w:lang w:val="en-GB"/>
        </w:rPr>
        <w:t xml:space="preserve"> value</w:t>
      </w:r>
      <w:r w:rsidR="005C65DE" w:rsidRPr="00BA3910">
        <w:rPr>
          <w:rFonts w:ascii="Arial" w:hAnsi="Arial" w:cs="Arial"/>
          <w:color w:val="161719"/>
          <w:shd w:val="clear" w:color="auto" w:fill="FFFFFF"/>
          <w:lang w:val="en-GB"/>
        </w:rPr>
        <w:t>),</w:t>
      </w:r>
      <w:r w:rsidR="00CC4F71" w:rsidRPr="00BA3910">
        <w:rPr>
          <w:rFonts w:ascii="Arial" w:hAnsi="Arial" w:cs="Arial"/>
          <w:color w:val="161719"/>
          <w:shd w:val="clear" w:color="auto" w:fill="FFFFFF"/>
          <w:lang w:val="en-GB"/>
        </w:rPr>
        <w:t xml:space="preserve"> </w:t>
      </w:r>
      <w:r w:rsidR="007B47AB">
        <w:rPr>
          <w:rFonts w:ascii="Arial" w:hAnsi="Arial" w:cs="Arial"/>
          <w:color w:val="161719"/>
          <w:shd w:val="clear" w:color="auto" w:fill="FFFFFF"/>
          <w:lang w:val="en-GB"/>
        </w:rPr>
        <w:t>VOD/SOS</w:t>
      </w:r>
      <w:r w:rsidR="005C3447">
        <w:rPr>
          <w:rFonts w:ascii="Arial" w:hAnsi="Arial" w:cs="Arial"/>
          <w:color w:val="161719"/>
          <w:shd w:val="clear" w:color="auto" w:fill="FFFFFF"/>
          <w:lang w:val="en-GB"/>
        </w:rPr>
        <w:t xml:space="preserve"> diagnosis</w:t>
      </w:r>
      <w:r w:rsidR="00CC4F71" w:rsidRPr="00BA3910">
        <w:rPr>
          <w:rFonts w:ascii="Arial" w:hAnsi="Arial" w:cs="Arial"/>
          <w:color w:val="161719"/>
          <w:shd w:val="clear" w:color="auto" w:fill="FFFFFF"/>
          <w:lang w:val="en-GB"/>
        </w:rPr>
        <w:t xml:space="preserve"> can be confirmed by LSM.</w:t>
      </w:r>
      <w:r w:rsidR="005C65DE" w:rsidRPr="00BA3910">
        <w:rPr>
          <w:rFonts w:ascii="Arial" w:hAnsi="Arial" w:cs="Arial"/>
          <w:color w:val="161719"/>
          <w:shd w:val="clear" w:color="auto" w:fill="FFFFFF"/>
          <w:lang w:val="en-GB"/>
        </w:rPr>
        <w:t xml:space="preserve"> This stepwise algorithm showed good accuracy with an AUROC of 0.898 and good positive (84.1% [69.9-93.4]) and negative (98.9% [97.9-99.5]) predictive values.</w:t>
      </w:r>
      <w:r w:rsidR="00E819E5" w:rsidRPr="00BA3910">
        <w:rPr>
          <w:rFonts w:ascii="Arial" w:hAnsi="Arial" w:cs="Arial"/>
          <w:color w:val="161719"/>
          <w:shd w:val="clear" w:color="auto" w:fill="FFFFFF"/>
          <w:lang w:val="en-GB"/>
        </w:rPr>
        <w:t xml:space="preserve"> </w:t>
      </w:r>
      <w:r w:rsidR="001A4B3F" w:rsidRPr="00BA3910">
        <w:rPr>
          <w:rFonts w:ascii="Arial" w:hAnsi="Arial" w:cs="Arial"/>
          <w:color w:val="161719"/>
          <w:shd w:val="clear" w:color="auto" w:fill="FFFFFF"/>
          <w:lang w:val="en-GB"/>
        </w:rPr>
        <w:t xml:space="preserve">In the </w:t>
      </w:r>
      <w:r w:rsidR="001A4B3F" w:rsidRPr="00BA3910">
        <w:rPr>
          <w:rFonts w:ascii="Arial" w:hAnsi="Arial" w:cs="Arial"/>
          <w:b/>
          <w:bCs/>
          <w:color w:val="161719"/>
          <w:highlight w:val="magenta"/>
          <w:shd w:val="clear" w:color="auto" w:fill="FFFFFF"/>
          <w:lang w:val="en-GB"/>
        </w:rPr>
        <w:t>appendix</w:t>
      </w:r>
      <w:r w:rsidR="001A4B3F" w:rsidRPr="00BA3910">
        <w:rPr>
          <w:rFonts w:ascii="Arial" w:hAnsi="Arial" w:cs="Arial"/>
          <w:color w:val="161719"/>
          <w:shd w:val="clear" w:color="auto" w:fill="FFFFFF"/>
          <w:lang w:val="en-GB"/>
        </w:rPr>
        <w:t>, we have included the cut-off values and operating characteristics for patients whose LSM was assessed in m/sec</w:t>
      </w:r>
      <w:r w:rsidR="005C3447">
        <w:rPr>
          <w:rFonts w:ascii="Arial" w:hAnsi="Arial" w:cs="Arial"/>
          <w:color w:val="161719"/>
          <w:shd w:val="clear" w:color="auto" w:fill="FFFFFF"/>
          <w:lang w:val="en-GB"/>
        </w:rPr>
        <w:t>; h</w:t>
      </w:r>
      <w:r w:rsidR="001A4B3F" w:rsidRPr="00BA3910">
        <w:rPr>
          <w:rFonts w:ascii="Arial" w:hAnsi="Arial" w:cs="Arial"/>
          <w:color w:val="161719"/>
          <w:shd w:val="clear" w:color="auto" w:fill="FFFFFF"/>
          <w:lang w:val="en-GB"/>
        </w:rPr>
        <w:t xml:space="preserve">owever, </w:t>
      </w:r>
      <w:r w:rsidR="00966508" w:rsidRPr="00BA3910">
        <w:rPr>
          <w:rFonts w:ascii="Arial" w:hAnsi="Arial" w:cs="Arial"/>
          <w:color w:val="161719"/>
          <w:shd w:val="clear" w:color="auto" w:fill="FFFFFF"/>
          <w:lang w:val="en-GB"/>
        </w:rPr>
        <w:t>a stepwise approach cannot be developed and proposed due to th</w:t>
      </w:r>
      <w:r w:rsidR="006D25A0" w:rsidRPr="00BA3910">
        <w:rPr>
          <w:rFonts w:ascii="Arial" w:hAnsi="Arial" w:cs="Arial"/>
          <w:color w:val="161719"/>
          <w:shd w:val="clear" w:color="auto" w:fill="FFFFFF"/>
          <w:lang w:val="en-GB"/>
        </w:rPr>
        <w:t xml:space="preserve">is group's limited </w:t>
      </w:r>
      <w:r w:rsidR="006272F0">
        <w:rPr>
          <w:rFonts w:ascii="Arial" w:hAnsi="Arial" w:cs="Arial"/>
          <w:color w:val="161719"/>
          <w:shd w:val="clear" w:color="auto" w:fill="FFFFFF"/>
          <w:lang w:val="en-GB"/>
        </w:rPr>
        <w:t>numbers</w:t>
      </w:r>
      <w:r w:rsidR="006D25A0" w:rsidRPr="00BA3910">
        <w:rPr>
          <w:rFonts w:ascii="Arial" w:hAnsi="Arial" w:cs="Arial"/>
          <w:color w:val="161719"/>
          <w:shd w:val="clear" w:color="auto" w:fill="FFFFFF"/>
          <w:lang w:val="en-GB"/>
        </w:rPr>
        <w:t xml:space="preserve"> of </w:t>
      </w:r>
      <w:r w:rsidR="007B47AB">
        <w:rPr>
          <w:rFonts w:ascii="Arial" w:hAnsi="Arial" w:cs="Arial"/>
          <w:color w:val="161719"/>
          <w:shd w:val="clear" w:color="auto" w:fill="FFFFFF"/>
          <w:lang w:val="en-GB"/>
        </w:rPr>
        <w:t>VOD/SOS</w:t>
      </w:r>
      <w:r w:rsidR="001A4B3F" w:rsidRPr="00BA3910">
        <w:rPr>
          <w:rFonts w:ascii="Arial" w:hAnsi="Arial" w:cs="Arial"/>
          <w:color w:val="161719"/>
          <w:shd w:val="clear" w:color="auto" w:fill="FFFFFF"/>
          <w:lang w:val="en-GB"/>
        </w:rPr>
        <w:t>.</w:t>
      </w:r>
    </w:p>
    <w:p w14:paraId="6FA5BA37" w14:textId="01610DB2" w:rsidR="00CC4F71" w:rsidRPr="00BA3910" w:rsidRDefault="00FF32AC" w:rsidP="005557B7">
      <w:pPr>
        <w:spacing w:line="360" w:lineRule="auto"/>
        <w:jc w:val="both"/>
        <w:rPr>
          <w:rFonts w:ascii="Arial" w:hAnsi="Arial" w:cs="Arial"/>
          <w:color w:val="161719"/>
          <w:shd w:val="clear" w:color="auto" w:fill="FFFFFF"/>
          <w:lang w:val="en-GB"/>
        </w:rPr>
      </w:pPr>
      <w:r>
        <w:rPr>
          <w:rFonts w:ascii="Arial" w:hAnsi="Arial" w:cs="Arial"/>
          <w:color w:val="161719"/>
          <w:shd w:val="clear" w:color="auto" w:fill="FFFFFF"/>
          <w:lang w:val="en-GB"/>
        </w:rPr>
        <w:t>When VOD/SOS occurs, appropriate treatment is given</w:t>
      </w:r>
      <w:r w:rsidR="00EA661B">
        <w:rPr>
          <w:rFonts w:ascii="Arial" w:hAnsi="Arial" w:cs="Arial"/>
          <w:color w:val="161719"/>
          <w:shd w:val="clear" w:color="auto" w:fill="FFFFFF"/>
          <w:lang w:val="en-GB"/>
        </w:rPr>
        <w:t>, and the patient is closely monitored until their condition improves or they die</w:t>
      </w:r>
      <w:r>
        <w:rPr>
          <w:rFonts w:ascii="Arial" w:hAnsi="Arial" w:cs="Arial"/>
          <w:color w:val="161719"/>
          <w:shd w:val="clear" w:color="auto" w:fill="FFFFFF"/>
          <w:lang w:val="en-GB"/>
        </w:rPr>
        <w:t xml:space="preserve">. </w:t>
      </w:r>
      <w:r w:rsidR="005C3447">
        <w:rPr>
          <w:rFonts w:ascii="Arial" w:hAnsi="Arial" w:cs="Arial"/>
          <w:color w:val="161719"/>
          <w:shd w:val="clear" w:color="auto" w:fill="FFFFFF"/>
          <w:lang w:val="en-GB"/>
        </w:rPr>
        <w:t xml:space="preserve">Patients who responded positively to therapy and were still alive at the +100-day mark showed a significant reduction in their liver stiffness measurement (LSM) week after week (p-value=0.0074). In contrast, those who died during the follow-up period did not experience a significant decrease in LSM </w:t>
      </w:r>
      <w:r w:rsidR="005C3447" w:rsidRPr="005C3447">
        <w:rPr>
          <w:rFonts w:ascii="Arial" w:hAnsi="Arial" w:cs="Arial"/>
          <w:b/>
          <w:bCs/>
          <w:color w:val="161719"/>
          <w:highlight w:val="yellow"/>
          <w:shd w:val="clear" w:color="auto" w:fill="FFFFFF"/>
          <w:lang w:val="en-GB"/>
        </w:rPr>
        <w:t>(Figure 4).</w:t>
      </w:r>
      <w:r w:rsidR="005C3447">
        <w:rPr>
          <w:rFonts w:ascii="Arial" w:hAnsi="Arial" w:cs="Arial"/>
          <w:color w:val="161719"/>
          <w:shd w:val="clear" w:color="auto" w:fill="FFFFFF"/>
          <w:lang w:val="en-GB"/>
        </w:rPr>
        <w:t xml:space="preserve"> Furthermore, patients who fully recovered from VOD/SOS exhibited significantly lower LSM values one week after starting the treatment (11.6 kPa vs 23.7 kPa; p-value=0.039) and had a much greater difference in LSM compared to those who did not improve and ultimately died (-12.2% vs -6.2%; p-value&lt;0.05).</w:t>
      </w:r>
    </w:p>
    <w:p w14:paraId="43E5BC1A" w14:textId="77777777" w:rsidR="00900678" w:rsidRDefault="00900678" w:rsidP="005557B7">
      <w:pPr>
        <w:spacing w:line="360" w:lineRule="auto"/>
        <w:jc w:val="both"/>
        <w:rPr>
          <w:rFonts w:ascii="Arial" w:hAnsi="Arial" w:cs="Arial"/>
          <w:color w:val="161719"/>
          <w:shd w:val="clear" w:color="auto" w:fill="FFFFFF"/>
          <w:lang w:val="en-GB"/>
        </w:rPr>
      </w:pPr>
    </w:p>
    <w:p w14:paraId="78A77C57" w14:textId="77777777" w:rsidR="00DF3A50" w:rsidRDefault="00DF3A50" w:rsidP="005557B7">
      <w:pPr>
        <w:spacing w:line="360" w:lineRule="auto"/>
        <w:jc w:val="both"/>
        <w:rPr>
          <w:rFonts w:ascii="Arial" w:hAnsi="Arial" w:cs="Arial"/>
          <w:color w:val="161719"/>
          <w:shd w:val="clear" w:color="auto" w:fill="FFFFFF"/>
          <w:lang w:val="en-GB"/>
        </w:rPr>
      </w:pPr>
    </w:p>
    <w:p w14:paraId="4B98BC89" w14:textId="77777777" w:rsidR="00DF3A50" w:rsidRDefault="00DF3A50" w:rsidP="005557B7">
      <w:pPr>
        <w:spacing w:line="360" w:lineRule="auto"/>
        <w:jc w:val="both"/>
        <w:rPr>
          <w:rFonts w:ascii="Arial" w:hAnsi="Arial" w:cs="Arial"/>
          <w:color w:val="161719"/>
          <w:shd w:val="clear" w:color="auto" w:fill="FFFFFF"/>
          <w:lang w:val="en-GB"/>
        </w:rPr>
      </w:pPr>
    </w:p>
    <w:p w14:paraId="4F86E722" w14:textId="77777777" w:rsidR="00DF3A50" w:rsidRPr="00BA3910" w:rsidRDefault="00DF3A50" w:rsidP="005557B7">
      <w:pPr>
        <w:spacing w:line="360" w:lineRule="auto"/>
        <w:jc w:val="both"/>
        <w:rPr>
          <w:rFonts w:ascii="Arial" w:hAnsi="Arial" w:cs="Arial"/>
          <w:color w:val="161719"/>
          <w:shd w:val="clear" w:color="auto" w:fill="FFFFFF"/>
          <w:lang w:val="en-GB"/>
        </w:rPr>
      </w:pPr>
    </w:p>
    <w:p w14:paraId="5F6E0F7B" w14:textId="77777777" w:rsidR="005A64E0" w:rsidRPr="00BA3910" w:rsidRDefault="005A64E0" w:rsidP="005A64E0">
      <w:pPr>
        <w:spacing w:line="360" w:lineRule="auto"/>
        <w:jc w:val="both"/>
        <w:rPr>
          <w:rFonts w:ascii="Arial" w:hAnsi="Arial" w:cs="Arial"/>
          <w:b/>
          <w:bCs/>
          <w:color w:val="161719"/>
          <w:u w:val="single"/>
          <w:shd w:val="clear" w:color="auto" w:fill="FFFFFF"/>
          <w:lang w:val="en-GB"/>
        </w:rPr>
      </w:pPr>
      <w:r w:rsidRPr="00BA3910">
        <w:rPr>
          <w:rFonts w:ascii="Arial" w:hAnsi="Arial" w:cs="Arial"/>
          <w:b/>
          <w:bCs/>
          <w:color w:val="161719"/>
          <w:u w:val="single"/>
          <w:shd w:val="clear" w:color="auto" w:fill="FFFFFF"/>
          <w:lang w:val="en-GB"/>
        </w:rPr>
        <w:t>Differential diagnosis</w:t>
      </w:r>
    </w:p>
    <w:p w14:paraId="1C54B9F4" w14:textId="44BDD5C5" w:rsidR="00900678" w:rsidRPr="00BA3910" w:rsidRDefault="00E30C23" w:rsidP="005557B7">
      <w:pPr>
        <w:spacing w:line="360" w:lineRule="auto"/>
        <w:jc w:val="both"/>
        <w:rPr>
          <w:rFonts w:ascii="Arial" w:hAnsi="Arial" w:cs="Arial"/>
          <w:color w:val="161719"/>
          <w:shd w:val="clear" w:color="auto" w:fill="FFFFFF"/>
          <w:lang w:val="en-GB"/>
        </w:rPr>
      </w:pPr>
      <w:r w:rsidRPr="00BA3910">
        <w:rPr>
          <w:rFonts w:ascii="Arial" w:hAnsi="Arial" w:cs="Arial"/>
          <w:color w:val="161719"/>
          <w:shd w:val="clear" w:color="auto" w:fill="FFFFFF"/>
          <w:lang w:val="en-GB"/>
        </w:rPr>
        <w:t xml:space="preserve">During the study, in addition to </w:t>
      </w:r>
      <w:r w:rsidR="007B47AB">
        <w:rPr>
          <w:rFonts w:ascii="Arial" w:hAnsi="Arial" w:cs="Arial"/>
          <w:color w:val="161719"/>
          <w:shd w:val="clear" w:color="auto" w:fill="FFFFFF"/>
          <w:lang w:val="en-GB"/>
        </w:rPr>
        <w:t>VOD/SOS</w:t>
      </w:r>
      <w:r w:rsidR="005A64E0" w:rsidRPr="00BA3910">
        <w:rPr>
          <w:rFonts w:ascii="Arial" w:hAnsi="Arial" w:cs="Arial"/>
          <w:color w:val="161719"/>
          <w:shd w:val="clear" w:color="auto" w:fill="FFFFFF"/>
          <w:lang w:val="en-GB"/>
        </w:rPr>
        <w:t>, most</w:t>
      </w:r>
      <w:r w:rsidRPr="00BA3910">
        <w:rPr>
          <w:rFonts w:ascii="Arial" w:hAnsi="Arial" w:cs="Arial"/>
          <w:color w:val="161719"/>
          <w:shd w:val="clear" w:color="auto" w:fill="FFFFFF"/>
          <w:lang w:val="en-GB"/>
        </w:rPr>
        <w:t xml:space="preserve"> patients (95.96%) experienced other complications and were classified as CTC 4-5 in 63.1% of cases (</w:t>
      </w:r>
      <w:r w:rsidRPr="00BA3910">
        <w:rPr>
          <w:rFonts w:ascii="Arial" w:hAnsi="Arial" w:cs="Arial"/>
          <w:b/>
          <w:bCs/>
          <w:color w:val="161719"/>
          <w:highlight w:val="cyan"/>
          <w:shd w:val="clear" w:color="auto" w:fill="FFFFFF"/>
          <w:lang w:val="en-GB"/>
        </w:rPr>
        <w:t>Table 6).</w:t>
      </w:r>
      <w:r w:rsidRPr="00BA3910">
        <w:rPr>
          <w:rFonts w:ascii="Arial" w:hAnsi="Arial" w:cs="Arial"/>
          <w:color w:val="161719"/>
          <w:shd w:val="clear" w:color="auto" w:fill="FFFFFF"/>
          <w:lang w:val="en-GB"/>
        </w:rPr>
        <w:t xml:space="preserve"> </w:t>
      </w:r>
      <w:r w:rsidR="00D20D8D">
        <w:rPr>
          <w:rFonts w:ascii="Arial" w:hAnsi="Arial" w:cs="Arial"/>
          <w:color w:val="161719"/>
          <w:shd w:val="clear" w:color="auto" w:fill="FFFFFF"/>
          <w:lang w:val="en-GB"/>
        </w:rPr>
        <w:t>Among t</w:t>
      </w:r>
      <w:r w:rsidRPr="00BA3910">
        <w:rPr>
          <w:rFonts w:ascii="Arial" w:hAnsi="Arial" w:cs="Arial"/>
          <w:color w:val="161719"/>
          <w:shd w:val="clear" w:color="auto" w:fill="FFFFFF"/>
          <w:lang w:val="en-GB"/>
        </w:rPr>
        <w:t>hese</w:t>
      </w:r>
      <w:r w:rsidR="00D20D8D">
        <w:rPr>
          <w:rFonts w:ascii="Arial" w:hAnsi="Arial" w:cs="Arial"/>
          <w:color w:val="161719"/>
          <w:shd w:val="clear" w:color="auto" w:fill="FFFFFF"/>
          <w:lang w:val="en-GB"/>
        </w:rPr>
        <w:t xml:space="preserve"> complications</w:t>
      </w:r>
      <w:r w:rsidRPr="00BA3910">
        <w:rPr>
          <w:rFonts w:ascii="Arial" w:hAnsi="Arial" w:cs="Arial"/>
          <w:color w:val="161719"/>
          <w:shd w:val="clear" w:color="auto" w:fill="FFFFFF"/>
          <w:lang w:val="en-GB"/>
        </w:rPr>
        <w:t xml:space="preserve">, 27 (2.9%), 35 (3.7%), 67 (7.1%), 5 (0.5%), and 11 (1.2%) presented with liver GvHD, DILI, isolated hyperbilirubinemia, hepatitis, and cholecystitis/cholangitis, respectively. </w:t>
      </w:r>
      <w:r w:rsidR="00B1290B" w:rsidRPr="00BA3910">
        <w:rPr>
          <w:rFonts w:ascii="Arial" w:hAnsi="Arial" w:cs="Arial"/>
          <w:color w:val="161719"/>
          <w:shd w:val="clear" w:color="auto" w:fill="FFFFFF"/>
          <w:lang w:val="en-GB"/>
        </w:rPr>
        <w:t xml:space="preserve">In 9 cases, liver biopsies (5 by trans-jugular approach) were performed. Out of these, 4 confirmed the diagnosis of </w:t>
      </w:r>
      <w:r w:rsidR="007B47AB">
        <w:rPr>
          <w:rFonts w:ascii="Arial" w:hAnsi="Arial" w:cs="Arial"/>
          <w:color w:val="161719"/>
          <w:shd w:val="clear" w:color="auto" w:fill="FFFFFF"/>
          <w:lang w:val="en-GB"/>
        </w:rPr>
        <w:t>VOD/SOS</w:t>
      </w:r>
      <w:r w:rsidR="00B1290B" w:rsidRPr="00BA3910">
        <w:rPr>
          <w:rFonts w:ascii="Arial" w:hAnsi="Arial" w:cs="Arial"/>
          <w:color w:val="161719"/>
          <w:shd w:val="clear" w:color="auto" w:fill="FFFFFF"/>
          <w:lang w:val="en-GB"/>
        </w:rPr>
        <w:t xml:space="preserve">, 3 diagnosed hepatic GVHD, 1 case diagnosed hepatic/bowel GVHD, and 1 case diagnosed </w:t>
      </w:r>
      <w:r w:rsidR="00D20D8D">
        <w:rPr>
          <w:rFonts w:ascii="Arial" w:hAnsi="Arial" w:cs="Arial"/>
          <w:color w:val="161719"/>
          <w:shd w:val="clear" w:color="auto" w:fill="FFFFFF"/>
          <w:lang w:val="en-GB"/>
        </w:rPr>
        <w:t xml:space="preserve">with </w:t>
      </w:r>
      <w:r w:rsidR="00B1290B" w:rsidRPr="00BA3910">
        <w:rPr>
          <w:rFonts w:ascii="Arial" w:hAnsi="Arial" w:cs="Arial"/>
          <w:color w:val="161719"/>
          <w:shd w:val="clear" w:color="auto" w:fill="FFFFFF"/>
          <w:lang w:val="en-GB"/>
        </w:rPr>
        <w:t xml:space="preserve">DILI. </w:t>
      </w:r>
      <w:r w:rsidR="005A64E0" w:rsidRPr="00BA3910">
        <w:rPr>
          <w:rFonts w:ascii="Arial" w:hAnsi="Arial" w:cs="Arial"/>
          <w:b/>
          <w:bCs/>
          <w:color w:val="161719"/>
          <w:highlight w:val="yellow"/>
          <w:shd w:val="clear" w:color="auto" w:fill="FFFFFF"/>
          <w:lang w:val="en-GB"/>
        </w:rPr>
        <w:t>Figure 5</w:t>
      </w:r>
      <w:r w:rsidR="005A64E0" w:rsidRPr="00BA3910">
        <w:rPr>
          <w:rFonts w:ascii="Arial" w:hAnsi="Arial" w:cs="Arial"/>
          <w:color w:val="161719"/>
          <w:shd w:val="clear" w:color="auto" w:fill="FFFFFF"/>
          <w:lang w:val="en-GB"/>
        </w:rPr>
        <w:t xml:space="preserve"> showed that LSM at the day of diagnosis differed significantly between </w:t>
      </w:r>
      <w:r w:rsidR="007B47AB">
        <w:rPr>
          <w:rFonts w:ascii="Arial" w:hAnsi="Arial" w:cs="Arial"/>
          <w:color w:val="161719"/>
          <w:shd w:val="clear" w:color="auto" w:fill="FFFFFF"/>
          <w:lang w:val="en-GB"/>
        </w:rPr>
        <w:t>VOD/SOS</w:t>
      </w:r>
      <w:r w:rsidR="005A64E0" w:rsidRPr="00BA3910">
        <w:rPr>
          <w:rFonts w:ascii="Arial" w:hAnsi="Arial" w:cs="Arial"/>
          <w:color w:val="161719"/>
          <w:shd w:val="clear" w:color="auto" w:fill="FFFFFF"/>
          <w:lang w:val="en-GB"/>
        </w:rPr>
        <w:t xml:space="preserve"> and other </w:t>
      </w:r>
      <w:r w:rsidR="00D20D8D">
        <w:rPr>
          <w:rFonts w:ascii="Arial" w:hAnsi="Arial" w:cs="Arial"/>
          <w:color w:val="161719"/>
          <w:shd w:val="clear" w:color="auto" w:fill="FFFFFF"/>
          <w:lang w:val="en-GB"/>
        </w:rPr>
        <w:t xml:space="preserve">live-related </w:t>
      </w:r>
      <w:r w:rsidR="005A64E0" w:rsidRPr="00BA3910">
        <w:rPr>
          <w:rFonts w:ascii="Arial" w:hAnsi="Arial" w:cs="Arial"/>
          <w:color w:val="161719"/>
          <w:shd w:val="clear" w:color="auto" w:fill="FFFFFF"/>
          <w:lang w:val="en-GB"/>
        </w:rPr>
        <w:t xml:space="preserve">complications classified as either CTC 4-5 or CTC 0-3, whether LSM was measured in kPa (5A) or m /sec (5B). In the </w:t>
      </w:r>
      <w:r w:rsidR="005A64E0" w:rsidRPr="00BA3910">
        <w:rPr>
          <w:rFonts w:ascii="Arial" w:hAnsi="Arial" w:cs="Arial"/>
          <w:b/>
          <w:bCs/>
          <w:color w:val="161719"/>
          <w:highlight w:val="magenta"/>
          <w:shd w:val="clear" w:color="auto" w:fill="FFFFFF"/>
          <w:lang w:val="en-GB"/>
        </w:rPr>
        <w:t>appendix</w:t>
      </w:r>
      <w:r w:rsidR="005A64E0" w:rsidRPr="00BA3910">
        <w:rPr>
          <w:rFonts w:ascii="Arial" w:hAnsi="Arial" w:cs="Arial"/>
          <w:color w:val="161719"/>
          <w:shd w:val="clear" w:color="auto" w:fill="FFFFFF"/>
          <w:lang w:val="en-GB"/>
        </w:rPr>
        <w:t xml:space="preserve">, we </w:t>
      </w:r>
      <w:r w:rsidR="00D20D8D" w:rsidRPr="00D20D8D">
        <w:rPr>
          <w:rFonts w:ascii="Arial" w:hAnsi="Arial" w:cs="Arial"/>
          <w:color w:val="161719"/>
          <w:shd w:val="clear" w:color="auto" w:fill="FFFFFF"/>
          <w:lang w:val="en-GB"/>
        </w:rPr>
        <w:t xml:space="preserve">observed significant differences in LSM values between patients with VOD/SOS and those experiencing </w:t>
      </w:r>
      <w:r w:rsidR="00D20D8D">
        <w:rPr>
          <w:rFonts w:ascii="Arial" w:hAnsi="Arial" w:cs="Arial"/>
          <w:color w:val="161719"/>
          <w:shd w:val="clear" w:color="auto" w:fill="FFFFFF"/>
          <w:lang w:val="en-GB"/>
        </w:rPr>
        <w:t>other HSCT</w:t>
      </w:r>
      <w:r w:rsidR="00D20D8D" w:rsidRPr="00D20D8D">
        <w:rPr>
          <w:rFonts w:ascii="Arial" w:hAnsi="Arial" w:cs="Arial"/>
          <w:color w:val="161719"/>
          <w:shd w:val="clear" w:color="auto" w:fill="FFFFFF"/>
          <w:lang w:val="en-GB"/>
        </w:rPr>
        <w:t xml:space="preserve"> complications within +100 days, according to CTC classification.</w:t>
      </w:r>
    </w:p>
    <w:p w14:paraId="479CA7E3" w14:textId="77777777" w:rsidR="0094447F" w:rsidRDefault="0094447F" w:rsidP="00407767">
      <w:pPr>
        <w:spacing w:line="360" w:lineRule="auto"/>
        <w:jc w:val="both"/>
        <w:rPr>
          <w:rFonts w:ascii="Arial" w:hAnsi="Arial" w:cs="Arial"/>
          <w:b/>
          <w:bCs/>
          <w:sz w:val="28"/>
          <w:szCs w:val="28"/>
          <w:lang w:val="en-GB"/>
        </w:rPr>
      </w:pPr>
    </w:p>
    <w:p w14:paraId="70B41FDD" w14:textId="2D5F99D1" w:rsidR="00F41625" w:rsidRPr="00F41625" w:rsidRDefault="0094447F" w:rsidP="00407767">
      <w:pPr>
        <w:spacing w:line="360" w:lineRule="auto"/>
        <w:jc w:val="both"/>
        <w:rPr>
          <w:rFonts w:ascii="Arial" w:hAnsi="Arial" w:cs="Arial"/>
          <w:b/>
          <w:bCs/>
          <w:sz w:val="28"/>
          <w:szCs w:val="28"/>
          <w:lang w:val="en-GB"/>
        </w:rPr>
      </w:pPr>
      <w:r>
        <w:rPr>
          <w:rFonts w:ascii="Arial" w:hAnsi="Arial" w:cs="Arial"/>
          <w:b/>
          <w:bCs/>
          <w:sz w:val="28"/>
          <w:szCs w:val="28"/>
          <w:lang w:val="en-GB"/>
        </w:rPr>
        <w:t>D</w:t>
      </w:r>
      <w:r w:rsidR="00775704" w:rsidRPr="00BA3910">
        <w:rPr>
          <w:rFonts w:ascii="Arial" w:hAnsi="Arial" w:cs="Arial"/>
          <w:b/>
          <w:bCs/>
          <w:sz w:val="28"/>
          <w:szCs w:val="28"/>
          <w:lang w:val="en-GB"/>
        </w:rPr>
        <w:t>iscussion</w:t>
      </w:r>
    </w:p>
    <w:p w14:paraId="5E90E5BE" w14:textId="2620354C" w:rsidR="00075B33" w:rsidRDefault="00075B33" w:rsidP="00F41625">
      <w:pPr>
        <w:spacing w:line="360" w:lineRule="auto"/>
        <w:jc w:val="both"/>
        <w:rPr>
          <w:rFonts w:ascii="Arial" w:hAnsi="Arial" w:cs="Arial"/>
          <w:lang w:val="en-US"/>
        </w:rPr>
      </w:pPr>
      <w:r w:rsidRPr="00075B33">
        <w:rPr>
          <w:rFonts w:ascii="Arial" w:hAnsi="Arial" w:cs="Arial"/>
          <w:lang w:val="en-US"/>
        </w:rPr>
        <w:t xml:space="preserve">The diagnosis of VOD </w:t>
      </w:r>
      <w:r w:rsidR="00605850">
        <w:rPr>
          <w:rFonts w:ascii="Arial" w:hAnsi="Arial" w:cs="Arial"/>
          <w:lang w:val="en-US"/>
        </w:rPr>
        <w:t>still poses</w:t>
      </w:r>
      <w:r w:rsidR="0026388A">
        <w:rPr>
          <w:rFonts w:ascii="Arial" w:hAnsi="Arial" w:cs="Arial"/>
          <w:lang w:val="en-US"/>
        </w:rPr>
        <w:t xml:space="preserve"> </w:t>
      </w:r>
      <w:r w:rsidRPr="00075B33">
        <w:rPr>
          <w:rFonts w:ascii="Arial" w:hAnsi="Arial" w:cs="Arial"/>
          <w:lang w:val="en-US"/>
        </w:rPr>
        <w:t xml:space="preserve">a significant challenge </w:t>
      </w:r>
      <w:r w:rsidR="009C39A4">
        <w:rPr>
          <w:rFonts w:ascii="Arial" w:hAnsi="Arial" w:cs="Arial"/>
          <w:lang w:val="en-US"/>
        </w:rPr>
        <w:fldChar w:fldCharType="begin"/>
      </w:r>
      <w:r w:rsidR="00AB318A">
        <w:rPr>
          <w:rFonts w:ascii="Arial" w:hAnsi="Arial" w:cs="Arial"/>
          <w:lang w:val="en-US"/>
        </w:rPr>
        <w:instrText xml:space="preserve"> ADDIN ZOTERO_ITEM CSL_CITATION {"citationID":"ORHvBhRW","properties":{"formattedCitation":"\\super 29\\nosupersub{}","plainCitation":"29","noteIndex":0},"citationItems":[{"id":10245,"uris":["http://zotero.org/users/9632340/items/UE85IU2N"],"itemData":{"id":10245,"type":"article-journal","abstract":"Abstract\n            \n              The current incidence, diagnostic policy, management, and outcome of VOD/SOS at EBMT centers were studied. All centers that had performed allogeneic HSCTs in adult patients within one defined year were invited to the study. Seventy-one centers participated with a total of 2886 allogeneic transplantations and 93 cases of VOD/SOS in 2018. The cumulative incidence of VOD/SOS at day 21 was 1.8% and at day 100 2.4%. Of 67 cases with detailed data, 52 were classical and 15 (22%) late onset (&gt;day 21). According to the EBMT criteria, 65/67 patients had at least two VOD/SOS risk factors. The severity grades were: mild 0, moderate 3, severe 29, very severe 35. Fifty-four patients were treated with defibrotide. VOD/SOS resolved in 58% of the patients, 3/3 with moderate, 22/28 with severe, and 12/33 with very severe grade (\n              p\n               &lt; 0.001). By day 100, 57% of the patients were alive; 3/3 with moderate, 22/29 with severe, and 13/35 with very severe VOD/SOS (\n              p\n               = 0.002). In conclusion, the incidence of VOD/SOS was low. Severe and very severe grades dominated. Very severe grade predicted poor outcome compared to severe grade further supporting the concept of early diagnosis and treatment to avoid a dismal outcome.","container-title":"Bone Marrow Transplantation","DOI":"10.1038/s41409-023-02077-2","ISSN":"0268-3369, 1476-5365","issue":"11","journalAbbreviation":"Bone Marrow Transplant","language":"en","page":"1209-1214","source":"DOI.org (Crossref)","title":"Current incidence, severity, and management of veno-occlusive disease/sinusoidal obstruction syndrome in adult allogeneic HSCT recipients: an EBMT Transplant Complications Working Party study","title-short":"Current incidence, severity, and management of veno-occlusive disease/sinusoidal obstruction syndrome in adult allogeneic HSCT recipients","volume":"58","author":[{"family":"Ruutu","given":"Tapani"},{"family":"Peczynski","given":"Christophe"},{"family":"Houhou","given":"Mohamed"},{"family":"Polge","given":"Emmanuelle"},{"family":"Mohty","given":"Mohamad"},{"family":"Kröger","given":"Nicolaus"},{"family":"Moiseev","given":"Ivan"},{"family":"Penack","given":"Olaf"},{"family":"Salooja","given":"Nina"},{"family":"Schoemans","given":"Hélène"},{"family":"Duarte","given":"Rafael F."},{"family":"Schroeder","given":"Thomas"},{"family":"Passweg","given":"Jakob"},{"family":"Wulf","given":"Gerald G."},{"family":"Ganser","given":"Arnold"},{"family":"Sica","given":"Simona"},{"family":"Arat","given":"Mutlu"},{"family":"Salmenniemi","given":"Urpu"},{"family":"Broers","given":"Annoek E. C."},{"family":"Bourhis","given":"Jean Henri"},{"family":"Rambaldi","given":"Alessandro"},{"family":"Maertens","given":"Johan"},{"family":"Halaburda","given":"Kazimierz"},{"family":"Zuckerman","given":"Tsila"},{"family":"Labussière-Wallet","given":"Hélène"},{"family":"Basak","given":"Grzegorz"},{"family":"Koenecke","given":"Christian"},{"family":"Perić","given":"Zinaida"}],"issued":{"date-parts":[["2023",11]]}}}],"schema":"https://github.com/citation-style-language/schema/raw/master/csl-citation.json"} </w:instrText>
      </w:r>
      <w:r w:rsidR="009C39A4">
        <w:rPr>
          <w:rFonts w:ascii="Arial" w:hAnsi="Arial" w:cs="Arial"/>
          <w:lang w:val="en-US"/>
        </w:rPr>
        <w:fldChar w:fldCharType="separate"/>
      </w:r>
      <w:r w:rsidR="00AB318A" w:rsidRPr="00AB318A">
        <w:rPr>
          <w:rFonts w:ascii="Arial" w:hAnsi="Arial" w:cs="Arial"/>
          <w:vertAlign w:val="superscript"/>
          <w:lang w:val="en-US"/>
        </w:rPr>
        <w:t>29</w:t>
      </w:r>
      <w:r w:rsidR="009C39A4">
        <w:rPr>
          <w:rFonts w:ascii="Arial" w:hAnsi="Arial" w:cs="Arial"/>
          <w:lang w:val="en-US"/>
        </w:rPr>
        <w:fldChar w:fldCharType="end"/>
      </w:r>
      <w:r w:rsidRPr="00075B33">
        <w:rPr>
          <w:rFonts w:ascii="Arial" w:hAnsi="Arial" w:cs="Arial"/>
          <w:lang w:val="en-US"/>
        </w:rPr>
        <w:t xml:space="preserve">. This stems from the potential </w:t>
      </w:r>
      <w:r>
        <w:rPr>
          <w:rFonts w:ascii="Arial" w:hAnsi="Arial" w:cs="Arial"/>
          <w:lang w:val="en-US"/>
        </w:rPr>
        <w:t>mortality of the condition when the diagnosis is delayed</w:t>
      </w:r>
      <w:r w:rsidR="009C39A4">
        <w:rPr>
          <w:rFonts w:ascii="Arial" w:hAnsi="Arial" w:cs="Arial"/>
          <w:lang w:val="en-US"/>
        </w:rPr>
        <w:fldChar w:fldCharType="begin"/>
      </w:r>
      <w:r w:rsidR="00AB318A">
        <w:rPr>
          <w:rFonts w:ascii="Arial" w:hAnsi="Arial" w:cs="Arial"/>
          <w:lang w:val="en-US"/>
        </w:rPr>
        <w:instrText xml:space="preserve"> ADDIN ZOTERO_ITEM CSL_CITATION {"citationID":"TGDzmNji","properties":{"formattedCitation":"\\super 30\\nosupersub{}","plainCitation":"30","noteIndex":0},"citationItems":[{"id":6923,"uris":["http://zotero.org/users/9632340/items/DQYG2PSF"],"itemData":{"id":6923,"type":"article-journal","abstract":"Hepatic veno-occlusive disease/sinusoidal obstruction syndrome (VOD/SOS) is a progressive, potentially fatal complication of conditioning for haematopoietic stem cell transplant (HSCT). The VOD/SOS pathophysiological cascade involves endothelial-cell activation and damage, and a prothrombotic-hypofibrinolytic state. Severe VOD/SOS (typically characterized by multi-organ dysfunction) may be associated with &gt;80% mortality. Defibrotide is approved for treating severe hepatic VOD/SOS post-HSCT in the European Union, and for hepatic VOD/SOS with renal or pulmonary dysfunction post-HSCT in the United States. Previously, defibrotide (25 mg/kg/day in 4 divided doses for a recommended ≥21 days) was available through an expanded-access treatment protocol for patients with VOD/SOS. Data from this study were examined post-hoc to determine if the timing of defibrotide initiation post-VOD/SOS diagnosis affected Day +100 survival post-HSCT. Among 573 patients, defibrotide was started on the day of VOD/SOS diagnosis in approximately 30%, and within 7 days in &gt;90%. The relationship between Day +100 survival and treatment initiation before/after specific days post-diagnosis showed superior survival when treatment was initiated closer to VOD/SOS diagnosis with a statistically significant trend over time for better outcomes with earlier treatment initiation (P &lt; 0·001). These results suggest that initiation of defibrotide should not be delayed after diagnosis of VOD/SOS.","container-title":"British journal of haematology","DOI":"10.1111/bjh.14727","ISSN":"1365-2141","note":"PMID: 28444784","title":"Earlier defibrotide initiation post-diagnosis of veno-occlusive disease/sinusoidal obstruction syndrome improves Day +100 survival following haematopoietic stem cell transplantation.","author":[{"family":"Richardson","given":"Paul G"},{"family":"Smith","given":"Angela R"},{"family":"Triplett","given":"Brandon M"},{"family":"Kernan","given":"Nancy A"},{"family":"Grupp","given":"Stephan A"},{"family":"Antin","given":"Joseph H"},{"family":"Lehmann","given":"Leslie"},{"family":"Miloslavsky","given":"Maja"},{"family":"Hume","given":"Robin"},{"family":"Hannah","given":"Alison L"},{"family":"Nejadnik","given":"Bijan"},{"family":"Soiffer","given":"Robert J"}],"issued":{"date-parts":[["2017",4]]}}}],"schema":"https://github.com/citation-style-language/schema/raw/master/csl-citation.json"} </w:instrText>
      </w:r>
      <w:r w:rsidR="009C39A4">
        <w:rPr>
          <w:rFonts w:ascii="Arial" w:hAnsi="Arial" w:cs="Arial"/>
          <w:lang w:val="en-US"/>
        </w:rPr>
        <w:fldChar w:fldCharType="separate"/>
      </w:r>
      <w:r w:rsidR="00AB318A" w:rsidRPr="00AB318A">
        <w:rPr>
          <w:rFonts w:ascii="Arial" w:hAnsi="Arial" w:cs="Arial"/>
          <w:vertAlign w:val="superscript"/>
          <w:lang w:val="en-US"/>
        </w:rPr>
        <w:t>30</w:t>
      </w:r>
      <w:r w:rsidR="009C39A4">
        <w:rPr>
          <w:rFonts w:ascii="Arial" w:hAnsi="Arial" w:cs="Arial"/>
          <w:lang w:val="en-US"/>
        </w:rPr>
        <w:fldChar w:fldCharType="end"/>
      </w:r>
      <w:r w:rsidR="00913F8B">
        <w:rPr>
          <w:rFonts w:ascii="Arial" w:hAnsi="Arial" w:cs="Arial"/>
          <w:lang w:val="en-US"/>
        </w:rPr>
        <w:t xml:space="preserve"> </w:t>
      </w:r>
      <w:r>
        <w:rPr>
          <w:rFonts w:ascii="Arial" w:hAnsi="Arial" w:cs="Arial"/>
          <w:lang w:val="en-US"/>
        </w:rPr>
        <w:t>and the intricate nature of the</w:t>
      </w:r>
      <w:r w:rsidRPr="00075B33">
        <w:rPr>
          <w:rFonts w:ascii="Arial" w:hAnsi="Arial" w:cs="Arial"/>
          <w:lang w:val="en-US"/>
        </w:rPr>
        <w:t xml:space="preserve"> differential diagnosis</w:t>
      </w:r>
      <w:r w:rsidR="009C39A4">
        <w:rPr>
          <w:rFonts w:ascii="Arial" w:hAnsi="Arial" w:cs="Arial"/>
          <w:lang w:val="en-US"/>
        </w:rPr>
        <w:fldChar w:fldCharType="begin"/>
      </w:r>
      <w:r w:rsidR="004F0C0D">
        <w:rPr>
          <w:rFonts w:ascii="Arial" w:hAnsi="Arial" w:cs="Arial"/>
          <w:lang w:val="en-US"/>
        </w:rPr>
        <w:instrText xml:space="preserve"> ADDIN ZOTERO_ITEM CSL_CITATION {"citationID":"vrTOXJuG","properties":{"formattedCitation":"\\super 9\\nosupersub{}","plainCitation":"9","noteIndex":0},"citationItems":[{"id":4119,"uris":["http://zotero.org/users/9632340/items/PNPNMMG5"],"itemData":{"id":4119,"type":"document","abstract":"Introduction: Veno-occlusive-disease (VOD), known also as sinusoidal-obstruction-syndrome (SOS), is one of the main complications of haematopoietic stem cell transplantation and is related to the treatment with pyrrolizidine alkaloids or other toxic agents (chemotherapy for liver-metastasis). Clinical diagnosis using the recent criteria from the European Society for Blood and Marrow Transplantation, is the reference for VOD/SOS diagnosis. However, increasing evidence suggests the emerging role of several imaging methods that could help the clinician in VOD/SOS assessment. Areas covered: This review evaluates the current literature on the various imaging techniques used in VOD/SOS diagnosis in several clinical scenarios. Literature searches were performed using several keywords on MEDLINE/Ovid/In-Process/Cochrane Library/EMBASE and PubMed up to July 2018. Expert commentary: Hepatic-gradient-measurement (HVPG) and contextual transjugular-liver-biopsy are invasive and should always be considered in unclear cases. The main studies revolve around ultrasound with Doppler evaluation, identifying numerous findings suggestive of VOD/SOS. However, their accuracy and validation are still suboptimal and controversial. CT-Scan and MRI have shown encouraging data in other contexts in which VOD/SOS can develop, but studies on the post-HSCT patient are lacking. Elastography techniques measuring liver stiffness (LSM) represent the most recent and promising approach for an accurate and early diagnosis of VOD/SOS. In our view, a multidisciplinary approach to the VOD/SOS diagnosis should be highly encouraged.","note":"ISSN: 17474132\nissue: 5\npage: 463–484\ncontainer-title: Expert Review of Gastroenterology and Hepatology\nvolume: 13\nDOI: 10.1080/17474124.2019.1588111\nPMID: 30895833","publisher":"Taylor and Francis Ltd","title":"Role of imaging techniques in liver veno-occlusive disease diagnosis: recent advances and literature review","author":[{"family":"Ravaioli","given":"Federico"},{"family":"Colecchia","given":"Antonio"},{"family":"Alemanni","given":"Luigina Vanessa"},{"family":"Vestito","given":"Amanda"},{"family":"Dajti","given":"Elton"},{"family":"Marasco","given":"Giovanni"},{"family":"Sessa","given":"Mariarosaria"},{"family":"Pession","given":"Andrea"},{"family":"Bonifazi","given":"Francesca"},{"family":"Festi","given":"Davide"}],"issued":{"date-parts":[["2019",5]]}}}],"schema":"https://github.com/citation-style-language/schema/raw/master/csl-citation.json"} </w:instrText>
      </w:r>
      <w:r w:rsidR="009C39A4">
        <w:rPr>
          <w:rFonts w:ascii="Arial" w:hAnsi="Arial" w:cs="Arial"/>
          <w:lang w:val="en-US"/>
        </w:rPr>
        <w:fldChar w:fldCharType="separate"/>
      </w:r>
      <w:r w:rsidR="004F0C0D" w:rsidRPr="004F0C0D">
        <w:rPr>
          <w:rFonts w:ascii="Arial" w:hAnsi="Arial" w:cs="Arial"/>
          <w:vertAlign w:val="superscript"/>
          <w:lang w:val="en-US"/>
        </w:rPr>
        <w:t>9</w:t>
      </w:r>
      <w:r w:rsidR="009C39A4">
        <w:rPr>
          <w:rFonts w:ascii="Arial" w:hAnsi="Arial" w:cs="Arial"/>
          <w:lang w:val="en-US"/>
        </w:rPr>
        <w:fldChar w:fldCharType="end"/>
      </w:r>
      <w:r w:rsidR="0026388A">
        <w:rPr>
          <w:rFonts w:ascii="Arial" w:hAnsi="Arial" w:cs="Arial"/>
          <w:lang w:val="en-US"/>
        </w:rPr>
        <w:t xml:space="preserve"> as well.</w:t>
      </w:r>
      <w:r w:rsidRPr="00075B33">
        <w:rPr>
          <w:rFonts w:ascii="Arial" w:hAnsi="Arial" w:cs="Arial"/>
          <w:lang w:val="en-US"/>
        </w:rPr>
        <w:t xml:space="preserve"> While clinical criteria are the primary diagnostic tool</w:t>
      </w:r>
      <w:r w:rsidR="009C39A4">
        <w:rPr>
          <w:rFonts w:ascii="Arial" w:hAnsi="Arial" w:cs="Arial"/>
          <w:lang w:val="en-US"/>
        </w:rPr>
        <w:fldChar w:fldCharType="begin"/>
      </w:r>
      <w:r w:rsidR="009C39A4">
        <w:rPr>
          <w:rFonts w:ascii="Arial" w:hAnsi="Arial" w:cs="Arial"/>
          <w:lang w:val="en-US"/>
        </w:rPr>
        <w:instrText xml:space="preserve"> ADDIN ZOTERO_ITEM CSL_CITATION {"citationID":"5O1r6JEF","properties":{"formattedCitation":"\\super 2,5\\nosupersub{}","plainCitation":"2,5","noteIndex":0},"citationItems":[{"id":10129,"uris":["http://zotero.org/users/9632340/items/Z328MIS8"],"itemData":{"id":10129,"type":"article-journal","container-title":"Bone Marrow Transplantation","DOI":"10.1038/s41409-023-01992-8","ISSN":"0268-3369, 1476-5365","issue":"7","journalAbbreviation":"Bone Marrow Transplant","language":"en","page":"749-754","source":"DOI.org (Crossref)","title":"Diagnosis and severity criteria for sinusoidal obstruction syndrome/veno-occlusive disease in adult patients: a refined classification from the European society for blood and marrow transplantation (EBMT)","title-short":"Diagnosis and severity criteria for sinusoidal obstruction syndrome/veno-occlusive disease in adult patients","volume":"58","author":[{"family":"Mohty","given":"Mohamad"},{"family":"Malard","given":"Florent"},{"family":"Alaskar","given":"Ahmed S."},{"family":"Aljurf","given":"Mahmoud"},{"family":"Arat","given":"Mutlu"},{"family":"Bader","given":"Peter"},{"family":"Baron","given":"Frederic"},{"family":"Bazarbachi","given":"Ali"},{"family":"Blaise","given":"Didier"},{"family":"Brissot","given":"Eolia"},{"family":"Ciceri","given":"Fabio"},{"family":"Corbacioglu","given":"Selim"},{"family":"Dalle","given":"Jean-Hugues"},{"family":"Dignan","given":"Fiona"},{"family":"Huynh","given":"Anne"},{"family":"Kenyon","given":"Michelle"},{"family":"Nagler","given":"Arnon"},{"family":"Pagliuca","given":"Antonio"},{"family":"Perić","given":"Zinaida"},{"family":"Richardson","given":"Paul G."},{"family":"Ruggeri","given":"Annalisa"},{"family":"Ruutu","given":"Tapani"},{"family":"Yakoub-Agha","given":"Ibrahim"},{"family":"Duarte","given":"Rafael F."},{"family":"Carreras","given":"Enric"}],"issued":{"date-parts":[["2023",7]]}}},{"id":4130,"uris":["http://zotero.org/users/9632340/items/3ECRK9BM"],"itemData":{"id":4130,"type":"article-journal","abstract":"The advances in hematopoietic cell transplantation (HCT) over the last decade have led to a transplant-related mortality below 15%. Hepatic sinusoidal obstruction syndrome/veno-occlusive disease (SOS/VOD) is a life-threatening complication of HCT that belongs to a group of diseases increasingly identified as transplant-related, systemic endothelial diseases. In most cases, SOS/VOD resolves within weeks; however, severe SOS/VOD results in multi-organ dysfunction/failure with a mortality rate &gt;80%. A timely diagnosis of SOS/VOD is of critical importance, given the availability of therapeutic options with favorable tolerability. Current diagnostic criteria are used for adults and children. However, over the last decade it has become clear that SOS/VOD is significantly different between the age groups in terms of incidence, genetic predisposition, clinical presentation, prevention, treatment and outcome. Improved understanding of SOS/VOD and the availability of effective treatment questions the use of the Baltimore and Seattle criteria for diagnosing SOS/VOD in children. The aim of this position paper is to propose new diagnostic and severity criteria for SOS/VOD in children on behalf of the European Society for Blood and Marrow Transplantation.","container-title":"Bone Marrow Transplantation","DOI":"10.1038/bmt.2017.161","ISSN":"14765365","issue":"2","note":"publisher: Nature Publishing Group\nPMID: 28759025","page":"138–145","title":"Diagnosis and severity criteria for sinusoidal obstruction syndrome/veno-occlusive disease in pediatric patients: A new classification from the European society for blood and marrow transplantation","volume":"53","author":[{"family":"Corbacioglu","given":"S."},{"family":"Carreras","given":"E."},{"family":"Ansari","given":"M."},{"family":"Balduzzi","given":"A."},{"family":"Cesaro","given":"S."},{"family":"Dalle","given":"J. H."},{"family":"Dignan","given":"F."},{"family":"Gibson","given":"B."},{"family":"Guengoer","given":"T."},{"family":"Gruhn","given":"B."},{"family":"Lankester","given":"A."},{"family":"Locatelli","given":"F."},{"family":"Pagliuca","given":"A."},{"family":"Peters","given":"C."},{"family":"Richardson","given":"P. G."},{"family":"Schulz","given":"A. S."},{"family":"Sedlacek","given":"P."},{"family":"Stein","given":"J."},{"family":"Sykora","given":"K. W."},{"family":"Toporski","given":"J."},{"family":"Trigoso","given":"E."},{"family":"Vetteranta","given":"K."},{"family":"Wachowiak","given":"J."},{"family":"Wallhult","given":"E."},{"family":"Wynn","given":"R."},{"family":"Yaniv","given":"I."},{"family":"Yesilipek","given":"A."},{"family":"Mohty","given":"M."},{"family":"Bader","given":"P."}],"issued":{"date-parts":[["2018",2]]}}}],"schema":"https://github.com/citation-style-language/schema/raw/master/csl-citation.json"} </w:instrText>
      </w:r>
      <w:r w:rsidR="009C39A4">
        <w:rPr>
          <w:rFonts w:ascii="Arial" w:hAnsi="Arial" w:cs="Arial"/>
          <w:lang w:val="en-US"/>
        </w:rPr>
        <w:fldChar w:fldCharType="separate"/>
      </w:r>
      <w:r w:rsidR="009C39A4" w:rsidRPr="009C39A4">
        <w:rPr>
          <w:rFonts w:ascii="Arial" w:hAnsi="Arial" w:cs="Arial"/>
          <w:vertAlign w:val="superscript"/>
          <w:lang w:val="en-US"/>
        </w:rPr>
        <w:t>2,5</w:t>
      </w:r>
      <w:r w:rsidR="009C39A4">
        <w:rPr>
          <w:rFonts w:ascii="Arial" w:hAnsi="Arial" w:cs="Arial"/>
          <w:lang w:val="en-US"/>
        </w:rPr>
        <w:fldChar w:fldCharType="end"/>
      </w:r>
      <w:r w:rsidRPr="00075B33">
        <w:rPr>
          <w:rFonts w:ascii="Arial" w:hAnsi="Arial" w:cs="Arial"/>
          <w:lang w:val="en-US"/>
        </w:rPr>
        <w:t>, their limited performance accuracy further complicates the process, especially in the case of frail patients where invasive procedures pose a considerable risk</w:t>
      </w:r>
      <w:r w:rsidR="009C39A4">
        <w:rPr>
          <w:rFonts w:ascii="Arial" w:hAnsi="Arial" w:cs="Arial"/>
          <w:lang w:val="en-US"/>
        </w:rPr>
        <w:fldChar w:fldCharType="begin"/>
      </w:r>
      <w:r w:rsidR="004F0C0D">
        <w:rPr>
          <w:rFonts w:ascii="Arial" w:hAnsi="Arial" w:cs="Arial"/>
          <w:lang w:val="en-US"/>
        </w:rPr>
        <w:instrText xml:space="preserve"> ADDIN ZOTERO_ITEM CSL_CITATION {"citationID":"0ncvFl6l","properties":{"formattedCitation":"\\super 16\\nosupersub{}","plainCitation":"16","noteIndex":0},"citationItems":[{"id":9591,"uris":["http://zotero.org/users/9632340/items/6SAMHSPZ"],"itemData":{"id":9591,"type":"article-journal","abstract":"Hepatic veno-occlusive disease (VOD) or sinusoidal obstruction syndrome (SOS) is a rare complication characterized by hepatomegaly, right-upper quadrant pain, jaundice, and ascites, occurring after high-dose chemotherapy, hematopoietic stem cell transplantation (HSCT) and, less commonly, other conditions. We review pathogenesis, clinical appearance and diagnostic criteria, risk factors, prophylaxis, and treatment of the VOD occurring post-HSCT. The injury of the sinusoidal endothelial cells with loss of wall integrity and sinusoidal obstruction is the basis of development of postsinusoidal portal hypertension responsible for clinical syndrome. Risk factors associated with the onset of VOD and diagnostic tools have been recently updated both in the pediatric and adult settings and here are reported. Treatment includes supportive care, intensive management, and specific drug therapy with defibrotide. Because of its severity, particularly in VOD with associated multiorgan disease, prophylaxis approaches are under investigation. During the last years, decreased mortality associated to VOD/SOS has been reported being it attributable to a better intensive and multidisciplinary approach.","archive":"Embase","container-title":"Frontiers in Immunology","DOI":"10.3389/fimmu.2020.00489","ISSN":"1664-3224","issue":"(Bonifazi F., francesca.bonifazi@unibo.it; Barbato F.; Defrancesco I.; Arpinati M.; Cavo M.) Institute of Hematology “L. and A. Seràgnoli, S. Orsola-Malpighi University Hospital, Bologna, Italy","journalAbbreviation":"Front. Immunol.","language":"English","license":"All rights reserved","title":"Diagnosis and Treatment of VOD/SOS After Allogeneic Hematopoietic Stem Cell Transplantation","URL":"https://www.embase.com/search/results?subaction=viewrecord&amp;id=L631509558&amp;from=export","volume":"11","author":[{"family":"Bonifazi","given":"F."},{"family":"Barbato","given":"F."},{"family":"Ravaioli","given":"F."},{"family":"Sessa","given":"M."},{"family":"Defrancesco","given":"I."},{"family":"Arpinati","given":"M."},{"family":"Cavo","given":"M."},{"family":"Colecchia","given":"A."}],"issued":{"date-parts":[["2020"]]}}}],"schema":"https://github.com/citation-style-language/schema/raw/master/csl-citation.json"} </w:instrText>
      </w:r>
      <w:r w:rsidR="009C39A4">
        <w:rPr>
          <w:rFonts w:ascii="Arial" w:hAnsi="Arial" w:cs="Arial"/>
          <w:lang w:val="en-US"/>
        </w:rPr>
        <w:fldChar w:fldCharType="separate"/>
      </w:r>
      <w:r w:rsidR="004F0C0D" w:rsidRPr="004F0C0D">
        <w:rPr>
          <w:rFonts w:ascii="Arial" w:hAnsi="Arial" w:cs="Arial"/>
          <w:vertAlign w:val="superscript"/>
          <w:lang w:val="en-US"/>
        </w:rPr>
        <w:t>16</w:t>
      </w:r>
      <w:r w:rsidR="009C39A4">
        <w:rPr>
          <w:rFonts w:ascii="Arial" w:hAnsi="Arial" w:cs="Arial"/>
          <w:lang w:val="en-US"/>
        </w:rPr>
        <w:fldChar w:fldCharType="end"/>
      </w:r>
      <w:r w:rsidRPr="00075B33">
        <w:rPr>
          <w:rFonts w:ascii="Arial" w:hAnsi="Arial" w:cs="Arial"/>
          <w:lang w:val="en-US"/>
        </w:rPr>
        <w:t>. Therefore, a non-invasive approach holds great promise in enhancing the accuracy of diagnosis and differential diagnosis, provided it demonstrates high sensitivity and specificity</w:t>
      </w:r>
      <w:r w:rsidR="009C39A4">
        <w:rPr>
          <w:rFonts w:ascii="Arial" w:hAnsi="Arial" w:cs="Arial"/>
          <w:lang w:val="en-US"/>
        </w:rPr>
        <w:fldChar w:fldCharType="begin"/>
      </w:r>
      <w:r w:rsidR="004F0C0D">
        <w:rPr>
          <w:rFonts w:ascii="Arial" w:hAnsi="Arial" w:cs="Arial"/>
          <w:lang w:val="en-US"/>
        </w:rPr>
        <w:instrText xml:space="preserve"> ADDIN ZOTERO_ITEM CSL_CITATION {"citationID":"RDQ4fso4","properties":{"formattedCitation":"\\super 15\\nosupersub{}","plainCitation":"15","noteIndex":0},"citationItems":[{"id":4284,"uris":["http://zotero.org/users/9632340/items/FIBFP6YQ"],"itemData":{"id":4284,"type":"article-journal","abstract":"Veno-occlusive disease/sinusoidal obstruction syndrome (VOD/SOS) is a potentially life-threatening complication of hematopoietic cell transplantation. Early diagnosis and, subsequently, earlier intervention have been shown to be beneficial to clinical outcomes. Diagnostic criteria from the European Society for Blood and Marrow Transplantation include recommendations on the use of imaging for diagnosis. This review discusses evidence on the use of imaging in the management of VOD/SOS and how imaging biomarkers can contribute to earlier diagnosis/treatment.","container-title":"Biology of Blood and Marrow Transplantation","DOI":"10.1016/j.bbmt.2020.06.016","ISSN":"15236536","issue":"10","note":"publisher: Elsevier\nPMID: 32593647","page":"1770–1779","title":"Imaging in Hepatic Veno-Occlusive Disease/Sinusoidal Obstruction Syndrome","volume":"26","author":[{"family":"Chan","given":"Sherwin S."},{"family":"Colecchia","given":"Antonio"},{"family":"Duarte","given":"Rafael F."},{"family":"Bonifazi","given":"Francesca"},{"family":"Ravaioli","given":"Federico"},{"family":"Bourhis","given":"Jean Henri"}],"issued":{"date-parts":[["2020",6]]}}}],"schema":"https://github.com/citation-style-language/schema/raw/master/csl-citation.json"} </w:instrText>
      </w:r>
      <w:r w:rsidR="009C39A4">
        <w:rPr>
          <w:rFonts w:ascii="Arial" w:hAnsi="Arial" w:cs="Arial"/>
          <w:lang w:val="en-US"/>
        </w:rPr>
        <w:fldChar w:fldCharType="separate"/>
      </w:r>
      <w:r w:rsidR="004F0C0D" w:rsidRPr="004F0C0D">
        <w:rPr>
          <w:rFonts w:ascii="Arial" w:hAnsi="Arial" w:cs="Arial"/>
          <w:vertAlign w:val="superscript"/>
          <w:lang w:val="en-US"/>
        </w:rPr>
        <w:t>15</w:t>
      </w:r>
      <w:r w:rsidR="009C39A4">
        <w:rPr>
          <w:rFonts w:ascii="Arial" w:hAnsi="Arial" w:cs="Arial"/>
          <w:lang w:val="en-US"/>
        </w:rPr>
        <w:fldChar w:fldCharType="end"/>
      </w:r>
      <w:r w:rsidRPr="00075B33">
        <w:rPr>
          <w:rFonts w:ascii="Arial" w:hAnsi="Arial" w:cs="Arial"/>
          <w:lang w:val="en-US"/>
        </w:rPr>
        <w:t>.</w:t>
      </w:r>
    </w:p>
    <w:p w14:paraId="15751B36" w14:textId="409FA8CC" w:rsidR="001F4AC4" w:rsidRDefault="001F4AC4" w:rsidP="00F41625">
      <w:pPr>
        <w:spacing w:line="360" w:lineRule="auto"/>
        <w:jc w:val="both"/>
        <w:rPr>
          <w:rFonts w:ascii="Arial" w:hAnsi="Arial" w:cs="Arial"/>
          <w:lang w:val="en-US"/>
        </w:rPr>
      </w:pPr>
      <w:r>
        <w:rPr>
          <w:rFonts w:ascii="Arial" w:hAnsi="Arial" w:cs="Arial"/>
          <w:lang w:val="en-US"/>
        </w:rPr>
        <w:t>Liver e</w:t>
      </w:r>
      <w:r w:rsidRPr="001F4AC4">
        <w:rPr>
          <w:rFonts w:ascii="Arial" w:hAnsi="Arial" w:cs="Arial"/>
          <w:lang w:val="en-US"/>
        </w:rPr>
        <w:t>lastography is an established</w:t>
      </w:r>
      <w:r w:rsidR="00FD5FB6">
        <w:rPr>
          <w:rFonts w:ascii="Arial" w:hAnsi="Arial" w:cs="Arial"/>
          <w:lang w:val="en-US"/>
        </w:rPr>
        <w:t>, validated,</w:t>
      </w:r>
      <w:r w:rsidRPr="001F4AC4">
        <w:rPr>
          <w:rFonts w:ascii="Arial" w:hAnsi="Arial" w:cs="Arial"/>
          <w:lang w:val="en-US"/>
        </w:rPr>
        <w:t xml:space="preserve"> non-invasive </w:t>
      </w:r>
      <w:r w:rsidR="0026388A">
        <w:rPr>
          <w:rFonts w:ascii="Arial" w:hAnsi="Arial" w:cs="Arial"/>
          <w:lang w:val="en-US"/>
        </w:rPr>
        <w:t>procedure</w:t>
      </w:r>
      <w:r w:rsidRPr="001F4AC4">
        <w:rPr>
          <w:rFonts w:ascii="Arial" w:hAnsi="Arial" w:cs="Arial"/>
          <w:lang w:val="en-US"/>
        </w:rPr>
        <w:t xml:space="preserve"> for assessing portal hypertension in patients with advanced chronic liver diseases</w:t>
      </w:r>
      <w:r w:rsidRPr="00075B33">
        <w:rPr>
          <w:rFonts w:ascii="Arial" w:hAnsi="Arial" w:cs="Arial"/>
          <w:lang w:val="en-US"/>
        </w:rPr>
        <w:t>.</w:t>
      </w:r>
      <w:r w:rsidR="00FD5FB6">
        <w:rPr>
          <w:rFonts w:ascii="Arial" w:hAnsi="Arial" w:cs="Arial"/>
          <w:lang w:val="en-US"/>
        </w:rPr>
        <w:t xml:space="preserve"> </w:t>
      </w:r>
      <w:r w:rsidRPr="001F4AC4">
        <w:rPr>
          <w:rFonts w:ascii="Arial" w:hAnsi="Arial" w:cs="Arial"/>
          <w:lang w:val="en-US"/>
        </w:rPr>
        <w:t xml:space="preserve">Given the pivotal role of portal hypertension in the pathophysiology of </w:t>
      </w:r>
      <w:r>
        <w:rPr>
          <w:rFonts w:ascii="Arial" w:hAnsi="Arial" w:cs="Arial"/>
          <w:lang w:val="en-US"/>
        </w:rPr>
        <w:t xml:space="preserve">VOD/SOS, </w:t>
      </w:r>
      <w:r w:rsidRPr="001F4AC4">
        <w:rPr>
          <w:rFonts w:ascii="Arial" w:hAnsi="Arial" w:cs="Arial"/>
          <w:lang w:val="en-US"/>
        </w:rPr>
        <w:t xml:space="preserve">elastography emerges as a potential </w:t>
      </w:r>
      <w:r>
        <w:rPr>
          <w:rFonts w:ascii="Arial" w:hAnsi="Arial" w:cs="Arial"/>
          <w:lang w:val="en-US"/>
        </w:rPr>
        <w:t xml:space="preserve">non-invasive </w:t>
      </w:r>
      <w:r w:rsidRPr="001F4AC4">
        <w:rPr>
          <w:rFonts w:ascii="Arial" w:hAnsi="Arial" w:cs="Arial"/>
          <w:lang w:val="en-US"/>
        </w:rPr>
        <w:t>diagnostic tool</w:t>
      </w:r>
      <w:r>
        <w:rPr>
          <w:rFonts w:ascii="Arial" w:hAnsi="Arial" w:cs="Arial"/>
          <w:lang w:val="en-US"/>
        </w:rPr>
        <w:t xml:space="preserve"> </w:t>
      </w:r>
      <w:r w:rsidRPr="001F4AC4">
        <w:rPr>
          <w:rFonts w:ascii="Arial" w:hAnsi="Arial" w:cs="Arial"/>
          <w:lang w:val="en-US"/>
        </w:rPr>
        <w:t>within clinical contexts</w:t>
      </w:r>
      <w:r w:rsidR="009C39A4">
        <w:rPr>
          <w:rFonts w:ascii="Arial" w:hAnsi="Arial" w:cs="Arial"/>
          <w:lang w:val="en-US"/>
        </w:rPr>
        <w:fldChar w:fldCharType="begin"/>
      </w:r>
      <w:r w:rsidR="004F0C0D">
        <w:rPr>
          <w:rFonts w:ascii="Arial" w:hAnsi="Arial" w:cs="Arial"/>
          <w:lang w:val="en-US"/>
        </w:rPr>
        <w:instrText xml:space="preserve"> ADDIN ZOTERO_ITEM CSL_CITATION {"citationID":"FnHzQ3Mf","properties":{"formattedCitation":"\\super 17\\nosupersub{}","plainCitation":"17","noteIndex":0},"citationItems":[{"id":6172,"uris":["http://zotero.org/users/9632340/items/J7D5BIE8"],"itemData":{"id":6172,"type":"article-journal","abstract":"The assessment of portal hypertension is a relevant step in the evaluation of newly diagnosed advanced chronic liver disease (ACLD). The current gold standard includes the invasive evaluation of hepatic venous pressure gradient (HVPG) and endoscopy. However, noninvasive or minimally invasive techniques to assess portal hypertension have been proposed and well established. In the present manuscript, we review clinical studies on the use of noninvasive or minimally invasive techniques to assess portal hypertension in ACLD patients.","container-title":"Gastroenterology Research and Practice","DOI":"10.1155/2018/4202091","ISSN":"1687630X","issue":"1","note":"publisher: Hindawi","page":"1–11","title":"Noninvasive assessment of portal hypertension in advanced chronic liver disease: An update","volume":"2018","author":[{"family":"Ravaioli","given":"Federico"},{"family":"Montagnani","given":"Marco"},{"family":"Lisotti","given":"Andrea"},{"family":"Festi","given":"Davide"},{"family":"Mazzella","given":"Giuseppe"},{"family":"Azzaroli","given":"Francesco"}],"issued":{"date-parts":[["2018",6]]}}}],"schema":"https://github.com/citation-style-language/schema/raw/master/csl-citation.json"} </w:instrText>
      </w:r>
      <w:r w:rsidR="009C39A4">
        <w:rPr>
          <w:rFonts w:ascii="Arial" w:hAnsi="Arial" w:cs="Arial"/>
          <w:lang w:val="en-US"/>
        </w:rPr>
        <w:fldChar w:fldCharType="separate"/>
      </w:r>
      <w:r w:rsidR="004F0C0D" w:rsidRPr="004F0C0D">
        <w:rPr>
          <w:rFonts w:ascii="Arial" w:hAnsi="Arial" w:cs="Arial"/>
          <w:vertAlign w:val="superscript"/>
          <w:lang w:val="en-US"/>
        </w:rPr>
        <w:t>17</w:t>
      </w:r>
      <w:r w:rsidR="009C39A4">
        <w:rPr>
          <w:rFonts w:ascii="Arial" w:hAnsi="Arial" w:cs="Arial"/>
          <w:lang w:val="en-US"/>
        </w:rPr>
        <w:fldChar w:fldCharType="end"/>
      </w:r>
      <w:r w:rsidRPr="001F4AC4">
        <w:rPr>
          <w:rFonts w:ascii="Arial" w:hAnsi="Arial" w:cs="Arial"/>
          <w:lang w:val="en-US"/>
        </w:rPr>
        <w:t>.</w:t>
      </w:r>
    </w:p>
    <w:p w14:paraId="623EF515" w14:textId="18970019" w:rsidR="001F4AC4" w:rsidRPr="00F41625" w:rsidRDefault="00FD5FB6" w:rsidP="00F41625">
      <w:pPr>
        <w:spacing w:line="360" w:lineRule="auto"/>
        <w:jc w:val="both"/>
        <w:rPr>
          <w:rFonts w:ascii="Arial" w:hAnsi="Arial" w:cs="Arial"/>
          <w:lang w:val="en-US"/>
        </w:rPr>
      </w:pPr>
      <w:r w:rsidRPr="00FD5FB6">
        <w:rPr>
          <w:rFonts w:ascii="Arial" w:hAnsi="Arial" w:cs="Arial"/>
          <w:lang w:val="en-US"/>
        </w:rPr>
        <w:t>Various retrospective and prospective studies conducted within single-institution settings have provided preliminary evidence supporting the utility of elastography in clinical practice</w:t>
      </w:r>
      <w:r w:rsidR="004C5935">
        <w:rPr>
          <w:rFonts w:ascii="Arial" w:hAnsi="Arial" w:cs="Arial"/>
          <w:lang w:val="en-US"/>
        </w:rPr>
        <w:t xml:space="preserve"> </w:t>
      </w:r>
      <w:r w:rsidR="00183C6B">
        <w:rPr>
          <w:rFonts w:ascii="Arial" w:hAnsi="Arial" w:cs="Arial"/>
          <w:lang w:val="en-US"/>
        </w:rPr>
        <w:fldChar w:fldCharType="begin"/>
      </w:r>
      <w:r w:rsidR="00AB318A">
        <w:rPr>
          <w:rFonts w:ascii="Arial" w:hAnsi="Arial" w:cs="Arial"/>
          <w:lang w:val="en-US"/>
        </w:rPr>
        <w:instrText xml:space="preserve"> ADDIN ZOTERO_ITEM CSL_CITATION {"citationID":"12fCAZQX","properties":{"formattedCitation":"\\super 31\\uc0\\u8211{}39\\nosupersub{}","plainCitation":"31–39","noteIndex":0},"citationItems":[{"id":4096,"uris":["http://zotero.org/users/9632340/items/8TXLDIEC"],"itemData":{"id":4096,"type":"article-journal","abstract":"Veno-occlusive disease (VOD), also known as sinusoidal obstruction syndrome (SOS), is a life-threatening complication affecting patients undergoing hematopoietic stem cell transplantation (HSCT). The survival rate is higher when specific therapy is initiated early; thus, improving early, noninvasive diagnosis of VOD/SOS is an important need. In an adult population undergoing HSCT, we aimed to assess the role of liver stiffness measurement (LSM), evaluated by transient elastography (TE), for diagnosing VOD/SOS. Between April 2016 and March 2018, 78 consecutive adult patients with indications for allogeneic HSCT were prospectively included. LSM was performed before HSCT and at days +9/10, +15/17, and +22/24 post-HSCT. New European Society for Blood and Marrow Transplantation criteria were used to establish VOD/SOS diagnosis. Four patients developed VOD/SOS (5.1%)during the study period, with a median time of +17 days post-HSCT. A sudden increase in LSM compared with previously assessed values and pre-HSCT values, was seen in all patients who developed VOD/SOS. LSM increases occurred from 2 to 12 days before clinical SOS/VOD appearance. The VOD/SOS diagnostic performance of increased LSM over pre-HSCT assessment showed an area under the receiver operating characteristic curve of 0.997 (sensitivity 75%; specificity 98.7%). LSM gradually decreased following successful VOD/SOS-specific treatment. Interestingly, LSM values did not increase significantly in patients experiencing hepatobiliary complications (according to the Common Terminology Criteria)other than VOD/SOS. LSM by TE can be considered a promising method to perform an early, preclinical diagnosis and follow-up of VOD/SOS.","container-title":"Biology of Blood and Marrow Transplantation","DOI":"10.1016/j.bbmt.2019.01.019","ISSN":"15236536","issue":"5","note":"publisher: Elsevier Inc.\nPMID: 30660772","page":"995–1003","title":"Liver Stiffness Measurement Allows Early Diagnosis of Veno-Occlusive Disease/Sinusoidal Obstruction Syndrome in Adult Patients Who Undergo Hematopoietic Stem Cell Transplantation: Results from a Monocentric Prospective Study","volume":"25","author":[{"family":"Colecchia","given":"Antonio"},{"family":"Ravaioli","given":"Federico"},{"family":"Sessa","given":"Mariarosaria"},{"family":"Alemanni","given":"Vanessa Luigina"},{"family":"Dajti","given":"Elton"},{"family":"Marasco","given":"Giovanni"},{"family":"Vestito","given":"Amanda"},{"family":"Zagari","given":"Rocco Maurizio"},{"family":"Barbato","given":"Francesco"},{"family":"Arpinati","given":"Mario"},{"family":"Cavo","given":"Michele"},{"family":"Festi","given":"Davide"},{"family":"Bonifazi","given":"Francesca"}],"issued":{"date-parts":[["2019",5]]}}},{"id":8544,"uris":["http://zotero.org/users/9632340/items/EW6ZF3R6"],"itemData":{"id":8544,"type":"article-journal","container-title":"Bone Marrow Transplantation","DOI":"10.1038/bmt.2016.320","ISSN":"14765365","issue":"3","note":"PMID: 27941774","page":"494–497","title":"Usefulness of liver stiffness measurement in predicting hepatic veno-occlusive disease development in patients who undergo HSCT","volume":"52","author":[{"family":"Colecchia","given":"A."},{"family":"Marasco","given":"G."},{"family":"Ravaioli","given":"F."},{"family":"Kleinschmidt","given":"K."},{"family":"Masetti","given":"R."},{"family":"Prete","given":"A."},{"family":"Pession","given":"A."},{"family":"Festi","given":"D."}],"issued":{"date-parts":[["2017"]]}}},{"id":5486,"uris":["http://zotero.org/users/9632340/items/AAQBLP5A"],"itemData":{"id":5486,"type":"article-journal","abstract":"Liver stiffness measurement by transient elastography is a non-invasive ultrasound-based technique used mainly for the evaluation of liver fibrosis in patients with chronic liver diseases. Some authors have suggested that it could be useful in the assessment of hepatic complications during hematopoietic stem cell transplant (HSCT), especially veno-occlusive disease (VOD) or sinusoidal obstructive syndrome (SOS). Here, we present the evaluation of liver stiffness in three patients who developed severe hepatic VOD/SOS after HSCT. Liver stiffness measurement values were normal before transplant and afterward until the diagnosis of VOD/SOS when a dramatic increase was observed. After the VOD/SOS specific treatment, the values of stiffness showed a similar pattern of progressive reduction in all the three patients, with normalization after two weeks. In this report, we discuss the role of LSM in the management of patients after the diagnosis of VOD/SOS.","container-title":"Pediatric Transplantation","DOI":"10.1111/petr.13456","ISSN":"13993046","issue":"5","note":"publisher: John Wiley &amp; Sons, Ltd (10.1111)\nPMID: 31081161","page":"e13456","title":"Longitudinal evaluation of liver stiffness in three pediatric patients with veno-occlusive disease","volume":"23","author":[{"family":"Zama","given":"Daniele"},{"family":"Bossù","given":"Gianluca"},{"family":"Ravaioli","given":"Federico"},{"family":"Masetti","given":"Riccardo"},{"family":"Prete","given":"Arcangelo"},{"family":"Festi","given":"Davide"},{"family":"Pession","given":"Andrea"}],"issued":{"date-parts":[["2019",8]]}}},{"id":10256,"uris":["http://zotero.org/users/9632340/items/PY69RP45"],"itemData":{"id":10256,"type":"article-journal","abstract":"Significant morbidity and mortality have been associated with liver complications after allogeneic hematopoietic stem cell transplantation (allo-HSCT). Causes and consequences of these hepato-biliary complications are various and might be life-threatening. A high misdiagnosis rate has been reported because of a weak correlation between clinical, laboratory and imaging data. Liver elastography, a liver stiffness measure, is able to assess liver fibrosis and portal hypertension in most liver diseases, but data after allo-HSCT are scarce. Our aim was to determine the interest of sequential liver stiffness measurements for the diagnosis of early hepatic complications after allo-HSCT.\nOver a two years period of time, 161 consecutive adult patients were included and 146 were analyzed. Ultrasonography and elastography measurements were performed before transplantation, at day+7 and day+14 by three different experienced radiologists unaware of patients'clinical status.\nEighty-one (55%) patients had liver involvements within the first 100 days after allo-HSCT. Baseline elastography was not predictive for the occurrence of overall liver abnormalities. A significant increase in 2D real-time shearwave elastography (2D-SWE) was found in patients with sinusoidal obstruction syndrome (SOS). Fifteen patients (10%) fulfilled EBMT score criteria and twelve (8%) reached Baltimore criteria for SOS diagnosis, but only six (4%) had a confirmed SOS. 2D-SWE at day+14 allowed early detection of SOS (AUROC=0.84, p=0.004) and improved sensibility (75%), specificity (99%) and positive predictive value (60%) over the Seattle, Baltimore or EBMT scores.\nA 2D-SWE measurement above 8.1kPa at day+14 after allo-HSCT seems a promising, non-invasive, and reproducible tool for early and accurate diagnosis of SOS.","container-title":"Haematologica","DOI":"10.3324/haematol.2019.245407","ISSN":"1592-8721, 0390-6078","issue":"9","journalAbbreviation":"haematol","license":"https://creativecommons.org/licenses/by-nc/4.0/legalcode","page":"2374-2383","source":"DOI.org (Crossref)","title":"Elastography improves accuracy of early hepato-biliary complications diagnosis after allogeneic stem cell transplantation","volume":"106","author":[{"literal":"Pierre-Edouard Debureaux"},{"literal":"Pierre Bourrier"},{"literal":"Pierre-Emmanuel Rautou"},{"literal":"Anne-Marie Zagdanski"},{"literal":"Morgane De Boutiny"},{"literal":"Simona Pagliuca"},{"literal":"Aurélien Sutra Del Galy"},{"literal":"Marie Robin"},{"literal":"Régis Peffault De Latour"},{"literal":"Aurélie Plessier"},{"literal":"Flore Sicre De Fontbrune"},{"literal":"Aliénor Xhaard"},{"literal":"Pedro Henrique De Lima Prata"},{"literal":"Dominique Valla"},{"literal":"Gérard Socié"},{"literal":"David Michonneau"}],"issued":{"date-parts":[["2020",7,30]]}}},{"id":10258,"uris":["http://zotero.org/users/9632340/items/YXV88VKD"],"itemData":{"id":10258,"type":"article-journal","container-title":"Pediatric Radiology","DOI":"10.1007/s00247-023-05703-9","ISSN":"1432-1998","issue":"10","journalAbbreviation":"Pediatr Radiol","language":"en","page":"2013-2020","source":"DOI.org (Crossref)","title":"Point shear-wave elastography for the diagnosis of veno-occlusive disease in children and young adults","volume":"53","author":[{"family":"Cañas","given":"Teresa"},{"family":"Suárez","given":"Olga"},{"family":"Rozas","given":"Isabel"},{"family":"Escribano","given":"Marta"},{"family":"Molina","given":"Blanca"},{"family":"González-Vicent","given":"Marta"},{"family":"Maciá","given":"Araceli"}],"issued":{"date-parts":[["2023",6,30]]}}},{"id":4107,"uris":["http://zotero.org/users/9632340/items/VRLYXARN"],"itemData":{"id":4107,"type":"article-journal","abstract":"Sinusoidal obstruction syndrome (SOS) is a potentially fatal complication of hematopoietic stem cell transplantation (HSCT). Traditional ultrasound (US) has poor sensitivity and specificity. US shear wave elastography (SWE) is a newer technology that measures liver stiffness. This is a single-institution, prospective cohort study evaluating SWE in patients younger than 21 years who received HSCT from December 2015 through June 2017. SOS was defined using the modified Seattle criteria. Subjects had US with SWE at three scheduled time points. t-tests were used to assess for difference between the groups and ROC curves were generated. Twenty-five patients were included. Five subjects developed SOS. At day +5 HSCT, SOS patients had SWE velocities that increased by 0.25 ± 0.21 m/s compared to 0.02 ± 0.18 in patients without SOS (p = 0.020). At day +14, SOS patients had SWE velocities that significantly increased by 0.91 m/s ± 1.14 m/s compared to 0.03 m/s ± 0.23 m/s in patients without SOS (p = 0.010). SWE SOS diagnosis occurred on average 9 and 11 days before clinical and conventional US diagnosis, respectively. Patients who develop SOS have increased liver stiffness compared to patients who do not develop SOS. SWE changes occur before other imaging and clinical findings of SOS.","container-title":"Bone Marrow Transplantation","DOI":"10.1038/s41409-017-0064-6","ISSN":"14765365","issue":"3","note":"publisher: Springer Nature\nPMID: 29335626","page":"523–530","title":"Using liver elastography to diagnose sinusoidal obstruction syndrome in pediatric patients undergoing hematopoetic stem cell transplant","volume":"55","author":[{"family":"Reddivalla","given":"Naresh"},{"family":"Robinson","given":"Amie L."},{"family":"Reid","given":"Kimberly J."},{"family":"Radhi","given":"Mohamed A."},{"family":"Dalal","given":"Jignesh"},{"family":"Opfer","given":"Erin K."},{"family":"Chan","given":"Sherwin S."}],"issued":{"date-parts":[["2020",3]]}}},{"id":10259,"uris":["http://zotero.org/users/9632340/items/E6WMGH37"],"itemData":{"id":10259,"type":"article-journal","container-title":"Journal of Medical Ultrasonics","DOI":"10.1007/s10396-023-01392-x","ISSN":"1346-4523, 1613-2254","journalAbbreviation":"J Med Ultrasonics","language":"en","source":"DOI.org (Crossref)","title":"Utility of liver stiffness measurement in the diagnosis of sinusoidal obstruction syndrome/veno-occlusive disease after hematopoietic stem cell transplantation","URL":"https://link.springer.com/10.1007/s10396-023-01392-x","author":[{"family":"Inoue","given":"Yoshiko"},{"family":"Saitoh","given":"Satoshi"},{"family":"Denpo","given":"Hideyuki"},{"family":"Yamaguchi","given":"Kazuma"},{"family":"Kubota","given":"Koichi"},{"family":"Taya","given":"Yuki"},{"family":"Wake","given":"Atsushi"},{"family":"Masuda","given":"Akiko"},{"family":"Ishiwata","given":"Kazuya"}],"accessed":{"date-parts":[["2024",4,15]]},"issued":{"date-parts":[["2023",12,19]]}}},{"id":10135,"uris":["http://zotero.org/users/9632340/items/P4YBC3XV"],"itemData":{"id":10135,"type":"article-journal","abstract":"Hepatic sinusoidal obstruction syndrome (SOS), also known as veno-occlusive disease (VOD) can be a life-threatening complication after hematopoietic stem cell transplantation (HSCT). Diagnosis is often difficult and traditionally based on clinical parameters. Shear wave elastography (SWE) is a modern non-invasive liver stiffness measurement technique using ultrasound. In this monocentric study, we evaluated the role of SWE in diagnosing SOS/VOD in 63 adult patients undergoing HSCT from February 2020 to August 2020 in real world settings. Three patients developed SOS/VOD. This was accompanied by an increase in shear wave velocity in all three patients, indicating that this method may contribute to establishing the diagnosis SOS/VOD after HSCT.","container-title":"Diagnostics","DOI":"10.3390/diagnostics11060928","ISSN":"2075-4418","issue":"6","journalAbbreviation":"Diagnostics","language":"en","page":"928","source":"DOI.org (Crossref)","title":"Shear Wave Elastography in the Detection of Sinusoidal Obstruction Syndrome in Adult Patients Undergoing Allogenic Hematopoietic Stem Cell Transplantation","volume":"11","author":[{"family":"Schulz","given":"Marten"},{"family":"Vuong","given":"Lam Giang"},{"family":"Müller","given":"Hans Peter"},{"family":"Maibier","given":"Martin"},{"family":"Tacke","given":"Frank"},{"family":"Blau","given":"Igor Wolfgang"},{"family":"Wree","given":"Alexander"}],"issued":{"date-parts":[["2021",5,21]]}}},{"id":10247,"uris":["http://zotero.org/users/9632340/items/BCS3SRQ3"],"itemData":{"id":10247,"type":"article-journal","abstract":"Purpose: This study aimed to evaluate the usefulness of two-dimensional shear wave elastography (2D-SWE) in diagnosing hepatic veno-occlusive disease (VOD) in pediatric patients.Methods: This study retrospectively included pediatric patients who underwent hematopoietic stem cell transplantation (HSCT) between November 2019 and January 2021. All 34 patients (8.7±5.0 years) were examined using 2D-SWE for an initial diagnosis. A subgroup analysis was performed using the data from follow-up examinations of patients diagnosed with VOD. The characteristics of the initial VOD diagnosis were compared with the longitudinal changes observed in VOD patients who underwent multiple ultrasound examinations.Results: In total, 19 patients were diagnosed with VOD at 17.6±9.4 days after HSCT. All VOD patients showed hepatomegaly, ascites, and gallbladder wall thickening. Liver stiffness was higher in VOD patients than in non-VOD patients (12.4±1.1 vs. 6.3±0.8 kPa, P&lt;0.001). Liver stiffness values above 7.2 kPa showed 84.2% sensitivity and 93.3% specificity in distinguishing VOD from non-VOD (area under the curve, 0.925; 95% confidence interval, 0.780 to 0.987; P&lt;0.001). A subgroup analysis of 11 patients showed a linear decrease in liver stiffness values after VOD diagnosis with treatment (first, second, and third follow-ups; 13.5±1.7, 11.3±1.4, and 9.5±0.8 kPa, respectively), but without statistical significance in the pairwise analysis.Conclusion: Liver stiffness measured using 2D-SWE increased in pediatric patients who develop VOD after HSCT. Therefore, liver stiffness can be a predictive and quantitative parameter for diagnosing VOD.","container-title":"Ultrasonography","DOI":"10.14366/usg.22107","ISSN":"2288-5919, 2288-5943","issue":"2","journalAbbreviation":"Ultrasonography","language":"en","page":"286-296","source":"DOI.org (Crossref)","title":"Usefulness of two-dimensional shear wave elastography in diagnosing hepatic veno-occlusive disease in pediatric patients undergoing hematopoietic stem cell transplantation","volume":"42","author":[{"family":"Lee","given":"Yoon Seong"},{"family":"Lee","given":"Seunghyun"},{"family":"Choi","given":"Young Hun"},{"family":"Cho","given":"Yeon Jin"},{"family":"Lee","given":"Seul Bi"},{"family":"Cheon","given":"Jung-Eun"},{"family":"Hong","given":"Kyung Taek"},{"family":"Kang","given":"Hyoung Jin"}],"issued":{"date-parts":[["2023",4,1]]}}}],"schema":"https://github.com/citation-style-language/schema/raw/master/csl-citation.json"} </w:instrText>
      </w:r>
      <w:r w:rsidR="00183C6B">
        <w:rPr>
          <w:rFonts w:ascii="Arial" w:hAnsi="Arial" w:cs="Arial"/>
          <w:lang w:val="en-US"/>
        </w:rPr>
        <w:fldChar w:fldCharType="separate"/>
      </w:r>
      <w:r w:rsidR="00AB318A" w:rsidRPr="00AB318A">
        <w:rPr>
          <w:rFonts w:ascii="Arial" w:hAnsi="Arial" w:cs="Arial"/>
          <w:vertAlign w:val="superscript"/>
          <w:lang w:val="en-US"/>
        </w:rPr>
        <w:t>31–39</w:t>
      </w:r>
      <w:r w:rsidR="00183C6B">
        <w:rPr>
          <w:rFonts w:ascii="Arial" w:hAnsi="Arial" w:cs="Arial"/>
          <w:lang w:val="en-US"/>
        </w:rPr>
        <w:fldChar w:fldCharType="end"/>
      </w:r>
      <w:r w:rsidRPr="00FD5FB6">
        <w:rPr>
          <w:rFonts w:ascii="Arial" w:hAnsi="Arial" w:cs="Arial"/>
          <w:lang w:val="en-US"/>
        </w:rPr>
        <w:t>. Consequently, these findings have prompted its inclusion in the recently revised criteria by the European Society for Blood and Marrow Transplantation (EBMT)</w:t>
      </w:r>
      <w:r w:rsidR="006F467C">
        <w:rPr>
          <w:rFonts w:ascii="Arial" w:hAnsi="Arial" w:cs="Arial"/>
          <w:lang w:val="en-US"/>
        </w:rPr>
        <w:fldChar w:fldCharType="begin"/>
      </w:r>
      <w:r w:rsidR="006F467C">
        <w:rPr>
          <w:rFonts w:ascii="Arial" w:hAnsi="Arial" w:cs="Arial"/>
          <w:lang w:val="en-US"/>
        </w:rPr>
        <w:instrText xml:space="preserve"> ADDIN ZOTERO_ITEM CSL_CITATION {"citationID":"bKNgXDh6","properties":{"formattedCitation":"\\super 2\\nosupersub{}","plainCitation":"2","noteIndex":0},"citationItems":[{"id":10129,"uris":["http://zotero.org/users/9632340/items/Z328MIS8"],"itemData":{"id":10129,"type":"article-journal","container-title":"Bone Marrow Transplantation","DOI":"10.1038/s41409-023-01992-8","ISSN":"0268-3369, 1476-5365","issue":"7","journalAbbreviation":"Bone Marrow Transplant","language":"en","page":"749-754","source":"DOI.org (Crossref)","title":"Diagnosis and severity criteria for sinusoidal obstruction syndrome/veno-occlusive disease in adult patients: a refined classification from the European society for blood and marrow transplantation (EBMT)","title-short":"Diagnosis and severity criteria for sinusoidal obstruction syndrome/veno-occlusive disease in adult patients","volume":"58","author":[{"family":"Mohty","given":"Mohamad"},{"family":"Malard","given":"Florent"},{"family":"Alaskar","given":"Ahmed S."},{"family":"Aljurf","given":"Mahmoud"},{"family":"Arat","given":"Mutlu"},{"family":"Bader","given":"Peter"},{"family":"Baron","given":"Frederic"},{"family":"Bazarbachi","given":"Ali"},{"family":"Blaise","given":"Didier"},{"family":"Brissot","given":"Eolia"},{"family":"Ciceri","given":"Fabio"},{"family":"Corbacioglu","given":"Selim"},{"family":"Dalle","given":"Jean-Hugues"},{"family":"Dignan","given":"Fiona"},{"family":"Huynh","given":"Anne"},{"family":"Kenyon","given":"Michelle"},{"family":"Nagler","given":"Arnon"},{"family":"Pagliuca","given":"Antonio"},{"family":"Perić","given":"Zinaida"},{"family":"Richardson","given":"Paul G."},{"family":"Ruggeri","given":"Annalisa"},{"family":"Ruutu","given":"Tapani"},{"family":"Yakoub-Agha","given":"Ibrahim"},{"family":"Duarte","given":"Rafael F."},{"family":"Carreras","given":"Enric"}],"issued":{"date-parts":[["2023",7]]}}}],"schema":"https://github.com/citation-style-language/schema/raw/master/csl-citation.json"} </w:instrText>
      </w:r>
      <w:r w:rsidR="006F467C">
        <w:rPr>
          <w:rFonts w:ascii="Arial" w:hAnsi="Arial" w:cs="Arial"/>
          <w:lang w:val="en-US"/>
        </w:rPr>
        <w:fldChar w:fldCharType="separate"/>
      </w:r>
      <w:r w:rsidR="006F467C" w:rsidRPr="004F0C0D">
        <w:rPr>
          <w:rFonts w:ascii="Arial" w:hAnsi="Arial" w:cs="Arial"/>
          <w:vertAlign w:val="superscript"/>
          <w:lang w:val="en-US"/>
        </w:rPr>
        <w:t>2</w:t>
      </w:r>
      <w:r w:rsidR="006F467C">
        <w:rPr>
          <w:rFonts w:ascii="Arial" w:hAnsi="Arial" w:cs="Arial"/>
          <w:lang w:val="en-US"/>
        </w:rPr>
        <w:fldChar w:fldCharType="end"/>
      </w:r>
      <w:r w:rsidRPr="00FD5FB6">
        <w:rPr>
          <w:rFonts w:ascii="Arial" w:hAnsi="Arial" w:cs="Arial"/>
          <w:lang w:val="en-US"/>
        </w:rPr>
        <w:t xml:space="preserve">, </w:t>
      </w:r>
      <w:r>
        <w:rPr>
          <w:rFonts w:ascii="Arial" w:hAnsi="Arial" w:cs="Arial"/>
          <w:lang w:val="en-US"/>
        </w:rPr>
        <w:t>a</w:t>
      </w:r>
      <w:r w:rsidRPr="00FD5FB6">
        <w:rPr>
          <w:rFonts w:ascii="Arial" w:hAnsi="Arial" w:cs="Arial"/>
          <w:lang w:val="en-US"/>
        </w:rPr>
        <w:t>lbeit without extensive multicentric validation.</w:t>
      </w:r>
    </w:p>
    <w:p w14:paraId="474AE0B7" w14:textId="7749F6AA" w:rsidR="00EA661B" w:rsidRDefault="00D13F12" w:rsidP="00F41625">
      <w:pPr>
        <w:spacing w:line="360" w:lineRule="auto"/>
        <w:jc w:val="both"/>
        <w:rPr>
          <w:rFonts w:ascii="Arial" w:hAnsi="Arial" w:cs="Arial"/>
          <w:lang w:val="en-US"/>
        </w:rPr>
      </w:pPr>
      <w:r w:rsidRPr="00D13F12">
        <w:rPr>
          <w:rFonts w:ascii="Arial" w:hAnsi="Arial" w:cs="Arial"/>
          <w:lang w:val="en-US"/>
        </w:rPr>
        <w:t>Our study successfully met the primary endpoint and established, for the first time, the diagnostic ability of LSM to non-invasiv</w:t>
      </w:r>
      <w:r w:rsidR="00485D74">
        <w:rPr>
          <w:rFonts w:ascii="Arial" w:hAnsi="Arial" w:cs="Arial"/>
          <w:lang w:val="en-US"/>
        </w:rPr>
        <w:t>e</w:t>
      </w:r>
      <w:r w:rsidRPr="00D13F12">
        <w:rPr>
          <w:rFonts w:ascii="Arial" w:hAnsi="Arial" w:cs="Arial"/>
          <w:lang w:val="en-US"/>
        </w:rPr>
        <w:t>ly diagnose VOD/SOS after HSCT.</w:t>
      </w:r>
      <w:r>
        <w:rPr>
          <w:rFonts w:ascii="Arial" w:hAnsi="Arial" w:cs="Arial"/>
          <w:lang w:val="en-US"/>
        </w:rPr>
        <w:t xml:space="preserve"> </w:t>
      </w:r>
      <w:r w:rsidR="00F41625" w:rsidRPr="00F41625">
        <w:rPr>
          <w:rFonts w:ascii="Arial" w:hAnsi="Arial" w:cs="Arial"/>
          <w:lang w:val="en-US"/>
        </w:rPr>
        <w:t>A</w:t>
      </w:r>
      <w:r w:rsidR="009F33FF">
        <w:rPr>
          <w:rFonts w:ascii="Arial" w:hAnsi="Arial" w:cs="Arial"/>
          <w:lang w:val="en-US"/>
        </w:rPr>
        <w:t>n</w:t>
      </w:r>
      <w:r w:rsidR="00F41625" w:rsidRPr="00F41625">
        <w:rPr>
          <w:rFonts w:ascii="Arial" w:hAnsi="Arial" w:cs="Arial"/>
          <w:lang w:val="en-US"/>
        </w:rPr>
        <w:t xml:space="preserve"> LSM value below 6 kPa reliably excludes </w:t>
      </w:r>
      <w:r w:rsidRPr="00F41625">
        <w:rPr>
          <w:rFonts w:ascii="Arial" w:hAnsi="Arial" w:cs="Arial"/>
          <w:lang w:val="en-US"/>
        </w:rPr>
        <w:t xml:space="preserve">VOD/SOS </w:t>
      </w:r>
      <w:r w:rsidR="00F41625" w:rsidRPr="00F41625">
        <w:rPr>
          <w:rFonts w:ascii="Arial" w:hAnsi="Arial" w:cs="Arial"/>
          <w:lang w:val="en-US"/>
        </w:rPr>
        <w:t>(rule-out</w:t>
      </w:r>
      <w:r w:rsidR="00EA661B">
        <w:rPr>
          <w:rFonts w:ascii="Arial" w:hAnsi="Arial" w:cs="Arial"/>
          <w:lang w:val="en-US"/>
        </w:rPr>
        <w:t xml:space="preserve"> value</w:t>
      </w:r>
      <w:r w:rsidR="00F41625" w:rsidRPr="00F41625">
        <w:rPr>
          <w:rFonts w:ascii="Arial" w:hAnsi="Arial" w:cs="Arial"/>
          <w:lang w:val="en-US"/>
        </w:rPr>
        <w:t>)</w:t>
      </w:r>
      <w:r>
        <w:rPr>
          <w:rFonts w:ascii="Arial" w:hAnsi="Arial" w:cs="Arial"/>
          <w:lang w:val="en-US"/>
        </w:rPr>
        <w:t xml:space="preserve"> with a</w:t>
      </w:r>
      <w:r w:rsidR="00485D74">
        <w:rPr>
          <w:rFonts w:ascii="Arial" w:hAnsi="Arial" w:cs="Arial"/>
          <w:lang w:val="en-US"/>
        </w:rPr>
        <w:t>n NPV&gt;95% and sensitiv</w:t>
      </w:r>
      <w:r>
        <w:rPr>
          <w:rFonts w:ascii="Arial" w:hAnsi="Arial" w:cs="Arial"/>
          <w:lang w:val="en-US"/>
        </w:rPr>
        <w:t>ity of 100%</w:t>
      </w:r>
      <w:r w:rsidR="00F41625" w:rsidRPr="00F41625">
        <w:rPr>
          <w:rFonts w:ascii="Arial" w:hAnsi="Arial" w:cs="Arial"/>
          <w:lang w:val="en-US"/>
        </w:rPr>
        <w:t xml:space="preserve">, while a value exceeding 25 kPa </w:t>
      </w:r>
      <w:r w:rsidR="00EA661B">
        <w:rPr>
          <w:rFonts w:ascii="Arial" w:hAnsi="Arial" w:cs="Arial"/>
          <w:lang w:val="en-US"/>
        </w:rPr>
        <w:t>can definitely be diagnosed as VOD/SOS</w:t>
      </w:r>
      <w:r w:rsidR="00F41625" w:rsidRPr="00F41625">
        <w:rPr>
          <w:rFonts w:ascii="Arial" w:hAnsi="Arial" w:cs="Arial"/>
          <w:lang w:val="en-US"/>
        </w:rPr>
        <w:t xml:space="preserve"> (rule-in value)</w:t>
      </w:r>
      <w:r w:rsidR="00EA661B">
        <w:rPr>
          <w:rFonts w:ascii="Arial" w:hAnsi="Arial" w:cs="Arial"/>
          <w:lang w:val="en-US"/>
        </w:rPr>
        <w:t xml:space="preserve"> with a specificity of 99.9% and PPV of 96.3%</w:t>
      </w:r>
      <w:r w:rsidR="00F41625" w:rsidRPr="00F41625">
        <w:rPr>
          <w:rFonts w:ascii="Arial" w:hAnsi="Arial" w:cs="Arial"/>
          <w:lang w:val="en-US"/>
        </w:rPr>
        <w:t xml:space="preserve">. </w:t>
      </w:r>
      <w:r w:rsidR="006665FE" w:rsidRPr="006665FE">
        <w:rPr>
          <w:rFonts w:ascii="Arial" w:hAnsi="Arial" w:cs="Arial"/>
          <w:lang w:val="en-US"/>
        </w:rPr>
        <w:t>Values that fall between these two thresholds can be evaluated by following a practical step-wise algorithm that involves applying the "three-time pre-HSCT r</w:t>
      </w:r>
      <w:r w:rsidR="00605850">
        <w:rPr>
          <w:rFonts w:ascii="Arial" w:hAnsi="Arial" w:cs="Arial"/>
          <w:lang w:val="en-US"/>
        </w:rPr>
        <w:t>u</w:t>
      </w:r>
      <w:r w:rsidR="006665FE" w:rsidRPr="006665FE">
        <w:rPr>
          <w:rFonts w:ascii="Arial" w:hAnsi="Arial" w:cs="Arial"/>
          <w:lang w:val="en-US"/>
        </w:rPr>
        <w:t>le"</w:t>
      </w:r>
      <w:r w:rsidR="006272F0">
        <w:rPr>
          <w:rFonts w:ascii="Arial" w:hAnsi="Arial" w:cs="Arial"/>
          <w:lang w:val="en-US"/>
        </w:rPr>
        <w:t>,</w:t>
      </w:r>
      <w:r w:rsidR="006665FE" w:rsidRPr="006665FE">
        <w:rPr>
          <w:rFonts w:ascii="Arial" w:hAnsi="Arial" w:cs="Arial"/>
          <w:lang w:val="en-US"/>
        </w:rPr>
        <w:t xml:space="preserve"> which enhances the overall diagnostic accuracy.</w:t>
      </w:r>
    </w:p>
    <w:p w14:paraId="741AE598" w14:textId="2C8632AC" w:rsidR="00C2125B" w:rsidRDefault="00C2125B" w:rsidP="00F41625">
      <w:pPr>
        <w:spacing w:line="360" w:lineRule="auto"/>
        <w:jc w:val="both"/>
        <w:rPr>
          <w:rFonts w:ascii="Arial" w:hAnsi="Arial" w:cs="Arial"/>
          <w:lang w:val="en-US"/>
        </w:rPr>
      </w:pPr>
      <w:r w:rsidRPr="00C2125B">
        <w:rPr>
          <w:rFonts w:ascii="Arial" w:hAnsi="Arial" w:cs="Arial"/>
          <w:lang w:val="en-US"/>
        </w:rPr>
        <w:t>LSM diagnostic cut-off values were observed exclusively in patients who developed VOD/SOS, setting it apart from other complications such as Graft-versus-Host Disease (GVHD), Drug-Induced Liver Injury (DILI), and other liver/biliary diseases. This highlights the potential of LSM in facilitating an accurate differential diagnosis process in clinical practice, in addition to its diagnostic capabilities.</w:t>
      </w:r>
      <w:r>
        <w:rPr>
          <w:rFonts w:ascii="Arial" w:hAnsi="Arial" w:cs="Arial"/>
          <w:lang w:val="en-US"/>
        </w:rPr>
        <w:t xml:space="preserve"> Finally</w:t>
      </w:r>
      <w:r w:rsidR="00F41625" w:rsidRPr="00F41625">
        <w:rPr>
          <w:rFonts w:ascii="Arial" w:hAnsi="Arial" w:cs="Arial"/>
          <w:lang w:val="en-US"/>
        </w:rPr>
        <w:t xml:space="preserve">, LSM was significantly associated with treatment </w:t>
      </w:r>
      <w:r w:rsidR="0026388A">
        <w:rPr>
          <w:rFonts w:ascii="Arial" w:hAnsi="Arial" w:cs="Arial"/>
          <w:lang w:val="en-US"/>
        </w:rPr>
        <w:t>response</w:t>
      </w:r>
      <w:r w:rsidR="0026388A" w:rsidRPr="00F41625">
        <w:rPr>
          <w:rFonts w:ascii="Arial" w:hAnsi="Arial" w:cs="Arial"/>
          <w:lang w:val="en-US"/>
        </w:rPr>
        <w:t xml:space="preserve"> </w:t>
      </w:r>
      <w:r w:rsidR="00F41625" w:rsidRPr="00F41625">
        <w:rPr>
          <w:rFonts w:ascii="Arial" w:hAnsi="Arial" w:cs="Arial"/>
          <w:lang w:val="en-US"/>
        </w:rPr>
        <w:t>and patient outcomes in those specifically managed for VOD/SOS, offering</w:t>
      </w:r>
      <w:r w:rsidR="0026388A">
        <w:rPr>
          <w:rFonts w:ascii="Arial" w:hAnsi="Arial" w:cs="Arial"/>
          <w:lang w:val="en-US"/>
        </w:rPr>
        <w:t xml:space="preserve"> also </w:t>
      </w:r>
      <w:r w:rsidR="00F41625" w:rsidRPr="00F41625">
        <w:rPr>
          <w:rFonts w:ascii="Arial" w:hAnsi="Arial" w:cs="Arial"/>
          <w:lang w:val="en-US"/>
        </w:rPr>
        <w:t xml:space="preserve">a valuable measure of </w:t>
      </w:r>
      <w:r>
        <w:rPr>
          <w:rFonts w:ascii="Arial" w:hAnsi="Arial" w:cs="Arial"/>
          <w:lang w:val="en-US"/>
        </w:rPr>
        <w:t>response</w:t>
      </w:r>
      <w:r w:rsidR="0026388A">
        <w:rPr>
          <w:rFonts w:ascii="Arial" w:hAnsi="Arial" w:cs="Arial"/>
          <w:lang w:val="en-US"/>
        </w:rPr>
        <w:t xml:space="preserve"> to therapy</w:t>
      </w:r>
      <w:r w:rsidR="00605850">
        <w:rPr>
          <w:rFonts w:ascii="Arial" w:hAnsi="Arial" w:cs="Arial"/>
          <w:lang w:val="en-US"/>
        </w:rPr>
        <w:t>.</w:t>
      </w:r>
    </w:p>
    <w:p w14:paraId="1615639A" w14:textId="040E873E" w:rsidR="00F41625" w:rsidRPr="00F41625" w:rsidRDefault="006C5062" w:rsidP="00F41625">
      <w:pPr>
        <w:spacing w:line="360" w:lineRule="auto"/>
        <w:jc w:val="both"/>
        <w:rPr>
          <w:rFonts w:ascii="Arial" w:hAnsi="Arial" w:cs="Arial"/>
          <w:lang w:val="en-US"/>
        </w:rPr>
      </w:pPr>
      <w:r w:rsidRPr="006C5062">
        <w:rPr>
          <w:rFonts w:ascii="Arial" w:hAnsi="Arial" w:cs="Arial"/>
          <w:lang w:val="en-US"/>
        </w:rPr>
        <w:t>The merit</w:t>
      </w:r>
      <w:r w:rsidR="00685564">
        <w:rPr>
          <w:rFonts w:ascii="Arial" w:hAnsi="Arial" w:cs="Arial"/>
          <w:lang w:val="en-US"/>
        </w:rPr>
        <w:t xml:space="preserve">s </w:t>
      </w:r>
      <w:r w:rsidRPr="006C5062">
        <w:rPr>
          <w:rFonts w:ascii="Arial" w:hAnsi="Arial" w:cs="Arial"/>
          <w:lang w:val="en-US"/>
        </w:rPr>
        <w:t>of LSM for VOD</w:t>
      </w:r>
      <w:r w:rsidR="00685564">
        <w:rPr>
          <w:rFonts w:ascii="Arial" w:hAnsi="Arial" w:cs="Arial"/>
          <w:lang w:val="en-US"/>
        </w:rPr>
        <w:t>/SOS</w:t>
      </w:r>
      <w:r w:rsidRPr="006C5062">
        <w:rPr>
          <w:rFonts w:ascii="Arial" w:hAnsi="Arial" w:cs="Arial"/>
          <w:lang w:val="en-US"/>
        </w:rPr>
        <w:t xml:space="preserve"> diagnosis and management are tremendous</w:t>
      </w:r>
      <w:r>
        <w:rPr>
          <w:rFonts w:ascii="Arial" w:hAnsi="Arial" w:cs="Arial"/>
          <w:lang w:val="en-US"/>
        </w:rPr>
        <w:t xml:space="preserve">: </w:t>
      </w:r>
      <w:r w:rsidR="00685564">
        <w:rPr>
          <w:rFonts w:ascii="Arial" w:hAnsi="Arial" w:cs="Arial"/>
          <w:lang w:val="en-US"/>
        </w:rPr>
        <w:t>given</w:t>
      </w:r>
      <w:r w:rsidR="00F41625" w:rsidRPr="00F41625">
        <w:rPr>
          <w:rFonts w:ascii="Arial" w:hAnsi="Arial" w:cs="Arial"/>
          <w:lang w:val="en-US"/>
        </w:rPr>
        <w:t xml:space="preserve"> VOD/SOS's high mortality rate and its dependence on early intervention, achieving a timely and accurate diagnosis is paramount. Despite the mortality rate being somewhat mitigated by</w:t>
      </w:r>
      <w:r w:rsidR="0026388A">
        <w:rPr>
          <w:rFonts w:ascii="Arial" w:hAnsi="Arial" w:cs="Arial"/>
          <w:lang w:val="en-US"/>
        </w:rPr>
        <w:t xml:space="preserve"> specific medications</w:t>
      </w:r>
      <w:r w:rsidR="00F41625" w:rsidRPr="00F41625">
        <w:rPr>
          <w:rFonts w:ascii="Arial" w:hAnsi="Arial" w:cs="Arial"/>
          <w:lang w:val="en-US"/>
        </w:rPr>
        <w:t xml:space="preserve"> </w:t>
      </w:r>
      <w:r w:rsidR="0026388A">
        <w:rPr>
          <w:rFonts w:ascii="Arial" w:hAnsi="Arial" w:cs="Arial"/>
          <w:lang w:val="en-US"/>
        </w:rPr>
        <w:t>such as</w:t>
      </w:r>
      <w:r w:rsidR="00F41625" w:rsidRPr="00F41625">
        <w:rPr>
          <w:rFonts w:ascii="Arial" w:hAnsi="Arial" w:cs="Arial"/>
          <w:lang w:val="en-US"/>
        </w:rPr>
        <w:t xml:space="preserve"> defibrotide, which reduces it to around 30%</w:t>
      </w:r>
      <w:r w:rsidR="006F467C">
        <w:rPr>
          <w:rFonts w:ascii="Arial" w:hAnsi="Arial" w:cs="Arial"/>
          <w:lang w:val="en-US"/>
        </w:rPr>
        <w:fldChar w:fldCharType="begin"/>
      </w:r>
      <w:r w:rsidR="006F467C">
        <w:rPr>
          <w:rFonts w:ascii="Arial" w:hAnsi="Arial" w:cs="Arial"/>
          <w:lang w:val="en-US"/>
        </w:rPr>
        <w:instrText xml:space="preserve"> ADDIN ZOTERO_ITEM CSL_CITATION {"citationID":"c9xpFt0S","properties":{"formattedCitation":"\\super 3\\nosupersub{}","plainCitation":"3","noteIndex":0},"citationItems":[{"id":10141,"uris":["http://zotero.org/users/9632340/items/3FIL2CTM"],"itemData":{"id":10141,"type":"article-journal","container-title":"Bone Marrow Transplantation","DOI":"10.1038/s41409-019-0705-z","ISSN":"0268-3369, 1476-5365","issue":"3","journalAbbreviation":"Bone Marrow Transplant","language":"en","page":"485-495","source":"DOI.org (Crossref)","title":"Prophylactic, preemptive, and curative treatment for sinusoidal obstruction syndrome/veno-occlusive disease in adult patients: a position statement from an international expert group","title-short":"Prophylactic, preemptive, and curative treatment for sinusoidal obstruction syndrome/veno-occlusive disease in adult patients","volume":"55","author":[{"family":"Mohty","given":"Mohamad"},{"family":"Malard","given":"Florent"},{"family":"Abecasis","given":"Manuel"},{"family":"Aerts","given":"Erik"},{"family":"Alaskar","given":"Ahmed S."},{"family":"Aljurf","given":"Mahmoud"},{"family":"Arat","given":"Mutlu"},{"family":"Bader","given":"Peter"},{"family":"Baron","given":"Frederic"},{"family":"Basak","given":"Grzegorz"},{"family":"Bazarbachi","given":"Ali"},{"family":"Blaise","given":"Didier"},{"family":"Ciceri","given":"Fabio"},{"family":"Corbacioglu","given":"Selim"},{"family":"Dalle","given":"Jean-Hugues"},{"family":"Dignan","given":"Fiona"},{"family":"Fukuda","given":"Takahiro"},{"family":"Huynh","given":"Anne"},{"family":"Kuball","given":"Jurgen"},{"family":"Lachance","given":"Silvy"},{"family":"Lazarus","given":"Hillard"},{"family":"Masszi","given":"Tamas"},{"family":"Michallet","given":"Mauricette"},{"family":"Nagler","given":"Arnon"},{"family":"NiChonghaile","given":"Mairead"},{"family":"Okamoto","given":"Shinichiro"},{"family":"Pagliuca","given":"Antonio"},{"family":"Peters","given":"Christina"},{"family":"Petersen","given":"Finn B."},{"family":"Richardson","given":"Paul G."},{"family":"Ruutu","given":"Tapani"},{"family":"Saber","given":"Wael"},{"family":"Savani","given":"Bipin N."},{"family":"Soiffer","given":"Robert"},{"family":"Styczynski","given":"Jan"},{"family":"Wallhult","given":"Elisabeth"},{"family":"Yakoub-Agha","given":"Ibrahim"},{"family":"Duarte","given":"Rafael F."},{"family":"Carreras","given":"Enric"}],"issued":{"date-parts":[["2020",3]]}}}],"schema":"https://github.com/citation-style-language/schema/raw/master/csl-citation.json"} </w:instrText>
      </w:r>
      <w:r w:rsidR="006F467C">
        <w:rPr>
          <w:rFonts w:ascii="Arial" w:hAnsi="Arial" w:cs="Arial"/>
          <w:lang w:val="en-US"/>
        </w:rPr>
        <w:fldChar w:fldCharType="separate"/>
      </w:r>
      <w:r w:rsidR="006F467C" w:rsidRPr="006F467C">
        <w:rPr>
          <w:rFonts w:ascii="Arial" w:hAnsi="Arial" w:cs="Arial"/>
          <w:vertAlign w:val="superscript"/>
          <w:lang w:val="en-US"/>
        </w:rPr>
        <w:t>3</w:t>
      </w:r>
      <w:r w:rsidR="006F467C">
        <w:rPr>
          <w:rFonts w:ascii="Arial" w:hAnsi="Arial" w:cs="Arial"/>
          <w:lang w:val="en-US"/>
        </w:rPr>
        <w:fldChar w:fldCharType="end"/>
      </w:r>
      <w:r w:rsidR="00F41625" w:rsidRPr="00F41625">
        <w:rPr>
          <w:rFonts w:ascii="Arial" w:hAnsi="Arial" w:cs="Arial"/>
          <w:lang w:val="en-US"/>
        </w:rPr>
        <w:t>,</w:t>
      </w:r>
      <w:r w:rsidR="00605850">
        <w:rPr>
          <w:rFonts w:ascii="Arial" w:hAnsi="Arial" w:cs="Arial"/>
          <w:lang w:val="en-US"/>
        </w:rPr>
        <w:t xml:space="preserve"> </w:t>
      </w:r>
      <w:r w:rsidR="0026388A">
        <w:rPr>
          <w:rFonts w:ascii="Arial" w:hAnsi="Arial" w:cs="Arial"/>
          <w:lang w:val="en-US"/>
        </w:rPr>
        <w:t>as further confirmed in this cohort,</w:t>
      </w:r>
      <w:r w:rsidR="00F41625" w:rsidRPr="00F41625">
        <w:rPr>
          <w:rFonts w:ascii="Arial" w:hAnsi="Arial" w:cs="Arial"/>
          <w:lang w:val="en-US"/>
        </w:rPr>
        <w:t xml:space="preserve"> </w:t>
      </w:r>
      <w:r w:rsidR="00685564">
        <w:rPr>
          <w:rFonts w:ascii="Arial" w:hAnsi="Arial" w:cs="Arial"/>
          <w:lang w:val="en-US"/>
        </w:rPr>
        <w:t xml:space="preserve">prompt and </w:t>
      </w:r>
      <w:r w:rsidR="00685564" w:rsidRPr="00685564">
        <w:rPr>
          <w:rFonts w:ascii="Arial" w:hAnsi="Arial" w:cs="Arial"/>
          <w:lang w:val="en-US"/>
        </w:rPr>
        <w:t xml:space="preserve">accurate diagnosis of </w:t>
      </w:r>
      <w:r w:rsidR="00685564" w:rsidRPr="006C5062">
        <w:rPr>
          <w:rFonts w:ascii="Arial" w:hAnsi="Arial" w:cs="Arial"/>
          <w:lang w:val="en-US"/>
        </w:rPr>
        <w:t>VOD</w:t>
      </w:r>
      <w:r w:rsidR="00685564">
        <w:rPr>
          <w:rFonts w:ascii="Arial" w:hAnsi="Arial" w:cs="Arial"/>
          <w:lang w:val="en-US"/>
        </w:rPr>
        <w:t>/SOS</w:t>
      </w:r>
      <w:r w:rsidR="00685564" w:rsidRPr="00685564">
        <w:rPr>
          <w:rFonts w:ascii="Arial" w:hAnsi="Arial" w:cs="Arial"/>
          <w:lang w:val="en-US"/>
        </w:rPr>
        <w:t xml:space="preserve"> can lead to a life-saving treatment that can significantly improve the patient's prognosis</w:t>
      </w:r>
      <w:r w:rsidR="006F467C">
        <w:rPr>
          <w:rFonts w:ascii="Arial" w:hAnsi="Arial" w:cs="Arial"/>
          <w:lang w:val="en-US"/>
        </w:rPr>
        <w:fldChar w:fldCharType="begin"/>
      </w:r>
      <w:r w:rsidR="00AB318A">
        <w:rPr>
          <w:rFonts w:ascii="Arial" w:hAnsi="Arial" w:cs="Arial"/>
          <w:lang w:val="en-US"/>
        </w:rPr>
        <w:instrText xml:space="preserve"> ADDIN ZOTERO_ITEM CSL_CITATION {"citationID":"JZWBKV9a","properties":{"formattedCitation":"\\super 30\\nosupersub{}","plainCitation":"30","noteIndex":0},"citationItems":[{"id":6923,"uris":["http://zotero.org/users/9632340/items/DQYG2PSF"],"itemData":{"id":6923,"type":"article-journal","abstract":"Hepatic veno-occlusive disease/sinusoidal obstruction syndrome (VOD/SOS) is a progressive, potentially fatal complication of conditioning for haematopoietic stem cell transplant (HSCT). The VOD/SOS pathophysiological cascade involves endothelial-cell activation and damage, and a prothrombotic-hypofibrinolytic state. Severe VOD/SOS (typically characterized by multi-organ dysfunction) may be associated with &gt;80% mortality. Defibrotide is approved for treating severe hepatic VOD/SOS post-HSCT in the European Union, and for hepatic VOD/SOS with renal or pulmonary dysfunction post-HSCT in the United States. Previously, defibrotide (25 mg/kg/day in 4 divided doses for a recommended ≥21 days) was available through an expanded-access treatment protocol for patients with VOD/SOS. Data from this study were examined post-hoc to determine if the timing of defibrotide initiation post-VOD/SOS diagnosis affected Day +100 survival post-HSCT. Among 573 patients, defibrotide was started on the day of VOD/SOS diagnosis in approximately 30%, and within 7 days in &gt;90%. The relationship between Day +100 survival and treatment initiation before/after specific days post-diagnosis showed superior survival when treatment was initiated closer to VOD/SOS diagnosis with a statistically significant trend over time for better outcomes with earlier treatment initiation (P &lt; 0·001). These results suggest that initiation of defibrotide should not be delayed after diagnosis of VOD/SOS.","container-title":"British journal of haematology","DOI":"10.1111/bjh.14727","ISSN":"1365-2141","note":"PMID: 28444784","title":"Earlier defibrotide initiation post-diagnosis of veno-occlusive disease/sinusoidal obstruction syndrome improves Day +100 survival following haematopoietic stem cell transplantation.","author":[{"family":"Richardson","given":"Paul G"},{"family":"Smith","given":"Angela R"},{"family":"Triplett","given":"Brandon M"},{"family":"Kernan","given":"Nancy A"},{"family":"Grupp","given":"Stephan A"},{"family":"Antin","given":"Joseph H"},{"family":"Lehmann","given":"Leslie"},{"family":"Miloslavsky","given":"Maja"},{"family":"Hume","given":"Robin"},{"family":"Hannah","given":"Alison L"},{"family":"Nejadnik","given":"Bijan"},{"family":"Soiffer","given":"Robert J"}],"issued":{"date-parts":[["2017",4]]}}}],"schema":"https://github.com/citation-style-language/schema/raw/master/csl-citation.json"} </w:instrText>
      </w:r>
      <w:r w:rsidR="006F467C">
        <w:rPr>
          <w:rFonts w:ascii="Arial" w:hAnsi="Arial" w:cs="Arial"/>
          <w:lang w:val="en-US"/>
        </w:rPr>
        <w:fldChar w:fldCharType="separate"/>
      </w:r>
      <w:r w:rsidR="00AB318A" w:rsidRPr="00AB318A">
        <w:rPr>
          <w:rFonts w:ascii="Arial" w:hAnsi="Arial" w:cs="Arial"/>
          <w:vertAlign w:val="superscript"/>
          <w:lang w:val="en-US"/>
        </w:rPr>
        <w:t>30</w:t>
      </w:r>
      <w:r w:rsidR="006F467C">
        <w:rPr>
          <w:rFonts w:ascii="Arial" w:hAnsi="Arial" w:cs="Arial"/>
          <w:lang w:val="en-US"/>
        </w:rPr>
        <w:fldChar w:fldCharType="end"/>
      </w:r>
      <w:r w:rsidR="00685564" w:rsidRPr="00685564">
        <w:rPr>
          <w:rFonts w:ascii="Arial" w:hAnsi="Arial" w:cs="Arial"/>
          <w:lang w:val="en-US"/>
        </w:rPr>
        <w:t>.</w:t>
      </w:r>
      <w:r w:rsidR="00685564" w:rsidRPr="00685564">
        <w:rPr>
          <w:rFonts w:ascii="Arial" w:hAnsi="Arial" w:cs="Arial"/>
          <w:color w:val="1C1C1C"/>
          <w:sz w:val="21"/>
          <w:szCs w:val="21"/>
          <w:shd w:val="clear" w:color="auto" w:fill="FFFFFF"/>
          <w:lang w:val="en-US"/>
        </w:rPr>
        <w:t xml:space="preserve"> </w:t>
      </w:r>
    </w:p>
    <w:p w14:paraId="2CEC3A26" w14:textId="2B6D2861" w:rsidR="0086220B" w:rsidRDefault="00FE5DEB" w:rsidP="00F41625">
      <w:pPr>
        <w:spacing w:line="360" w:lineRule="auto"/>
        <w:jc w:val="both"/>
        <w:rPr>
          <w:rFonts w:ascii="Arial" w:hAnsi="Arial" w:cs="Arial"/>
          <w:lang w:val="en-US"/>
        </w:rPr>
      </w:pPr>
      <w:r>
        <w:rPr>
          <w:rFonts w:ascii="Arial" w:hAnsi="Arial" w:cs="Arial"/>
          <w:lang w:val="en-US"/>
        </w:rPr>
        <w:t>Our study, which was conducted in Italy between 2018 and 2022, is</w:t>
      </w:r>
      <w:r w:rsidR="007125AA">
        <w:rPr>
          <w:rFonts w:ascii="Arial" w:hAnsi="Arial" w:cs="Arial"/>
          <w:lang w:val="en-US"/>
        </w:rPr>
        <w:t xml:space="preserve"> on</w:t>
      </w:r>
      <w:r w:rsidR="00911392">
        <w:rPr>
          <w:rFonts w:ascii="Arial" w:hAnsi="Arial" w:cs="Arial"/>
          <w:lang w:val="en-US"/>
        </w:rPr>
        <w:t>e</w:t>
      </w:r>
      <w:r w:rsidR="007125AA">
        <w:rPr>
          <w:rFonts w:ascii="Arial" w:hAnsi="Arial" w:cs="Arial"/>
          <w:lang w:val="en-US"/>
        </w:rPr>
        <w:t xml:space="preserve"> of </w:t>
      </w:r>
      <w:r>
        <w:rPr>
          <w:rFonts w:ascii="Arial" w:hAnsi="Arial" w:cs="Arial"/>
          <w:lang w:val="en-US"/>
        </w:rPr>
        <w:t xml:space="preserve">the </w:t>
      </w:r>
      <w:r w:rsidR="00911392">
        <w:rPr>
          <w:rFonts w:ascii="Arial" w:hAnsi="Arial" w:cs="Arial"/>
          <w:lang w:val="en-US"/>
        </w:rPr>
        <w:t xml:space="preserve">largest </w:t>
      </w:r>
      <w:r>
        <w:rPr>
          <w:rFonts w:ascii="Arial" w:hAnsi="Arial" w:cs="Arial"/>
          <w:lang w:val="en-US"/>
        </w:rPr>
        <w:t>prospective cohort</w:t>
      </w:r>
      <w:r w:rsidR="00572B2B">
        <w:rPr>
          <w:rFonts w:ascii="Arial" w:hAnsi="Arial" w:cs="Arial"/>
          <w:lang w:val="en-US"/>
        </w:rPr>
        <w:t>s</w:t>
      </w:r>
      <w:r>
        <w:rPr>
          <w:rFonts w:ascii="Arial" w:hAnsi="Arial" w:cs="Arial"/>
          <w:lang w:val="en-US"/>
        </w:rPr>
        <w:t xml:space="preserve"> that has been conducted on HSCT patients. Besides being useful for diagnostic and monitoring purposes, it has provided valuable insights into the actual real-world incidence and risk factors for VOD/SOS and can serve as a benchmark for incidence, treatment, and outcomes. </w:t>
      </w:r>
      <w:r w:rsidR="00F41625" w:rsidRPr="00F41625">
        <w:rPr>
          <w:rFonts w:ascii="Arial" w:hAnsi="Arial" w:cs="Arial"/>
          <w:lang w:val="en-US"/>
        </w:rPr>
        <w:t xml:space="preserve">Notably, we found </w:t>
      </w:r>
      <w:r w:rsidR="0054468C">
        <w:rPr>
          <w:rFonts w:ascii="Arial" w:hAnsi="Arial" w:cs="Arial"/>
          <w:lang w:val="en-US"/>
        </w:rPr>
        <w:t>an</w:t>
      </w:r>
      <w:r w:rsidR="00F41625" w:rsidRPr="00F41625">
        <w:rPr>
          <w:rFonts w:ascii="Arial" w:hAnsi="Arial" w:cs="Arial"/>
          <w:lang w:val="en-US"/>
        </w:rPr>
        <w:t xml:space="preserve"> incidence of VOD</w:t>
      </w:r>
      <w:r>
        <w:rPr>
          <w:rFonts w:ascii="Arial" w:hAnsi="Arial" w:cs="Arial"/>
          <w:lang w:val="en-US"/>
        </w:rPr>
        <w:t>/SOS</w:t>
      </w:r>
      <w:r w:rsidR="00F41625" w:rsidRPr="00F41625">
        <w:rPr>
          <w:rFonts w:ascii="Arial" w:hAnsi="Arial" w:cs="Arial"/>
          <w:lang w:val="en-US"/>
        </w:rPr>
        <w:t xml:space="preserve"> </w:t>
      </w:r>
      <w:r w:rsidR="0054468C">
        <w:rPr>
          <w:rFonts w:ascii="Arial" w:hAnsi="Arial" w:cs="Arial"/>
          <w:lang w:val="en-US"/>
        </w:rPr>
        <w:t>of</w:t>
      </w:r>
      <w:r w:rsidR="00F41625" w:rsidRPr="00F41625">
        <w:rPr>
          <w:rFonts w:ascii="Arial" w:hAnsi="Arial" w:cs="Arial"/>
          <w:lang w:val="en-US"/>
        </w:rPr>
        <w:t xml:space="preserve"> approximately 5.5%,</w:t>
      </w:r>
      <w:r w:rsidR="0054468C">
        <w:rPr>
          <w:rFonts w:ascii="Arial" w:hAnsi="Arial" w:cs="Arial"/>
          <w:lang w:val="en-US"/>
        </w:rPr>
        <w:t xml:space="preserve"> </w:t>
      </w:r>
      <w:r w:rsidR="0054468C" w:rsidRPr="00F41625">
        <w:rPr>
          <w:rFonts w:ascii="Arial" w:hAnsi="Arial" w:cs="Arial"/>
          <w:lang w:val="en-US"/>
        </w:rPr>
        <w:t>with higher rates observed in pediatric patients compared to adults</w:t>
      </w:r>
      <w:r w:rsidR="0054468C">
        <w:rPr>
          <w:rFonts w:ascii="Arial" w:hAnsi="Arial" w:cs="Arial"/>
          <w:lang w:val="en-US"/>
        </w:rPr>
        <w:t xml:space="preserve"> (14.4% vs 3.6%); </w:t>
      </w:r>
      <w:r w:rsidR="00EA7079">
        <w:rPr>
          <w:rFonts w:ascii="Arial" w:hAnsi="Arial" w:cs="Arial"/>
          <w:lang w:val="en-US"/>
        </w:rPr>
        <w:t>relevant literature reported highly variable incidence of VOD/SOS after HSCT across the last decades</w:t>
      </w:r>
      <w:r w:rsidR="006F467C">
        <w:rPr>
          <w:rFonts w:ascii="Arial" w:hAnsi="Arial" w:cs="Arial"/>
          <w:lang w:val="en-US"/>
        </w:rPr>
        <w:fldChar w:fldCharType="begin"/>
      </w:r>
      <w:r w:rsidR="00AB318A">
        <w:rPr>
          <w:rFonts w:ascii="Arial" w:hAnsi="Arial" w:cs="Arial"/>
          <w:lang w:val="en-US"/>
        </w:rPr>
        <w:instrText xml:space="preserve"> ADDIN ZOTERO_ITEM CSL_CITATION {"citationID":"1D5pr2Vh","properties":{"formattedCitation":"\\super 29\\nosupersub{}","plainCitation":"29","noteIndex":0},"citationItems":[{"id":10245,"uris":["http://zotero.org/users/9632340/items/UE85IU2N"],"itemData":{"id":10245,"type":"article-journal","abstract":"Abstract\n            \n              The current incidence, diagnostic policy, management, and outcome of VOD/SOS at EBMT centers were studied. All centers that had performed allogeneic HSCTs in adult patients within one defined year were invited to the study. Seventy-one centers participated with a total of 2886 allogeneic transplantations and 93 cases of VOD/SOS in 2018. The cumulative incidence of VOD/SOS at day 21 was 1.8% and at day 100 2.4%. Of 67 cases with detailed data, 52 were classical and 15 (22%) late onset (&gt;day 21). According to the EBMT criteria, 65/67 patients had at least two VOD/SOS risk factors. The severity grades were: mild 0, moderate 3, severe 29, very severe 35. Fifty-four patients were treated with defibrotide. VOD/SOS resolved in 58% of the patients, 3/3 with moderate, 22/28 with severe, and 12/33 with very severe grade (\n              p\n               &lt; 0.001). By day 100, 57% of the patients were alive; 3/3 with moderate, 22/29 with severe, and 13/35 with very severe VOD/SOS (\n              p\n               = 0.002). In conclusion, the incidence of VOD/SOS was low. Severe and very severe grades dominated. Very severe grade predicted poor outcome compared to severe grade further supporting the concept of early diagnosis and treatment to avoid a dismal outcome.","container-title":"Bone Marrow Transplantation","DOI":"10.1038/s41409-023-02077-2","ISSN":"0268-3369, 1476-5365","issue":"11","journalAbbreviation":"Bone Marrow Transplant","language":"en","page":"1209-1214","source":"DOI.org (Crossref)","title":"Current incidence, severity, and management of veno-occlusive disease/sinusoidal obstruction syndrome in adult allogeneic HSCT recipients: an EBMT Transplant Complications Working Party study","title-short":"Current incidence, severity, and management of veno-occlusive disease/sinusoidal obstruction syndrome in adult allogeneic HSCT recipients","volume":"58","author":[{"family":"Ruutu","given":"Tapani"},{"family":"Peczynski","given":"Christophe"},{"family":"Houhou","given":"Mohamed"},{"family":"Polge","given":"Emmanuelle"},{"family":"Mohty","given":"Mohamad"},{"family":"Kröger","given":"Nicolaus"},{"family":"Moiseev","given":"Ivan"},{"family":"Penack","given":"Olaf"},{"family":"Salooja","given":"Nina"},{"family":"Schoemans","given":"Hélène"},{"family":"Duarte","given":"Rafael F."},{"family":"Schroeder","given":"Thomas"},{"family":"Passweg","given":"Jakob"},{"family":"Wulf","given":"Gerald G."},{"family":"Ganser","given":"Arnold"},{"family":"Sica","given":"Simona"},{"family":"Arat","given":"Mutlu"},{"family":"Salmenniemi","given":"Urpu"},{"family":"Broers","given":"Annoek E. C."},{"family":"Bourhis","given":"Jean Henri"},{"family":"Rambaldi","given":"Alessandro"},{"family":"Maertens","given":"Johan"},{"family":"Halaburda","given":"Kazimierz"},{"family":"Zuckerman","given":"Tsila"},{"family":"Labussière-Wallet","given":"Hélène"},{"family":"Basak","given":"Grzegorz"},{"family":"Koenecke","given":"Christian"},{"family":"Perić","given":"Zinaida"}],"issued":{"date-parts":[["2023",11]]}}}],"schema":"https://github.com/citation-style-language/schema/raw/master/csl-citation.json"} </w:instrText>
      </w:r>
      <w:r w:rsidR="006F467C">
        <w:rPr>
          <w:rFonts w:ascii="Arial" w:hAnsi="Arial" w:cs="Arial"/>
          <w:lang w:val="en-US"/>
        </w:rPr>
        <w:fldChar w:fldCharType="separate"/>
      </w:r>
      <w:r w:rsidR="00AB318A" w:rsidRPr="00AB318A">
        <w:rPr>
          <w:rFonts w:ascii="Arial" w:hAnsi="Arial" w:cs="Arial"/>
          <w:vertAlign w:val="superscript"/>
          <w:lang w:val="en-US"/>
        </w:rPr>
        <w:t>29</w:t>
      </w:r>
      <w:r w:rsidR="006F467C">
        <w:rPr>
          <w:rFonts w:ascii="Arial" w:hAnsi="Arial" w:cs="Arial"/>
          <w:lang w:val="en-US"/>
        </w:rPr>
        <w:fldChar w:fldCharType="end"/>
      </w:r>
      <w:r w:rsidR="00EA7079">
        <w:rPr>
          <w:rFonts w:ascii="Arial" w:hAnsi="Arial" w:cs="Arial"/>
          <w:lang w:val="en-US"/>
        </w:rPr>
        <w:t xml:space="preserve"> and our study showed </w:t>
      </w:r>
      <w:r w:rsidR="0054468C" w:rsidRPr="0054468C">
        <w:rPr>
          <w:rFonts w:ascii="Arial" w:hAnsi="Arial" w:cs="Arial"/>
          <w:lang w:val="en-US"/>
        </w:rPr>
        <w:t>lower</w:t>
      </w:r>
      <w:r w:rsidR="00EA7079">
        <w:rPr>
          <w:rFonts w:ascii="Arial" w:hAnsi="Arial" w:cs="Arial"/>
          <w:lang w:val="en-US"/>
        </w:rPr>
        <w:t xml:space="preserve"> incidence</w:t>
      </w:r>
      <w:r w:rsidR="0054468C" w:rsidRPr="0054468C">
        <w:rPr>
          <w:rFonts w:ascii="Arial" w:hAnsi="Arial" w:cs="Arial"/>
          <w:lang w:val="en-US"/>
        </w:rPr>
        <w:t xml:space="preserve"> than the rates </w:t>
      </w:r>
      <w:r w:rsidR="00EA7079">
        <w:rPr>
          <w:rFonts w:ascii="Arial" w:hAnsi="Arial" w:cs="Arial"/>
          <w:lang w:val="en-US"/>
        </w:rPr>
        <w:t xml:space="preserve">recently </w:t>
      </w:r>
      <w:r w:rsidR="0054468C" w:rsidRPr="0054468C">
        <w:rPr>
          <w:rFonts w:ascii="Arial" w:hAnsi="Arial" w:cs="Arial"/>
          <w:lang w:val="en-US"/>
        </w:rPr>
        <w:t xml:space="preserve">reported </w:t>
      </w:r>
      <w:r w:rsidR="00EA7079">
        <w:rPr>
          <w:rFonts w:ascii="Arial" w:hAnsi="Arial" w:cs="Arial"/>
          <w:lang w:val="en-US"/>
        </w:rPr>
        <w:t>by the</w:t>
      </w:r>
      <w:r w:rsidR="0054468C" w:rsidRPr="0054468C">
        <w:rPr>
          <w:rFonts w:ascii="Arial" w:hAnsi="Arial" w:cs="Arial"/>
          <w:lang w:val="en-US"/>
        </w:rPr>
        <w:t xml:space="preserve"> DEFIFrance Registry Study</w:t>
      </w:r>
      <w:r w:rsidR="006F467C">
        <w:rPr>
          <w:rFonts w:ascii="Arial" w:hAnsi="Arial" w:cs="Arial"/>
          <w:lang w:val="en-US"/>
        </w:rPr>
        <w:fldChar w:fldCharType="begin"/>
      </w:r>
      <w:r w:rsidR="00AB318A">
        <w:rPr>
          <w:rFonts w:ascii="Arial" w:hAnsi="Arial" w:cs="Arial"/>
          <w:lang w:val="en-US"/>
        </w:rPr>
        <w:instrText xml:space="preserve"> ADDIN ZOTERO_ITEM CSL_CITATION {"citationID":"WnypNTYb","properties":{"formattedCitation":"\\super 28\\nosupersub{}","plainCitation":"28","noteIndex":0},"citationItems":[{"id":10238,"uris":["http://zotero.org/users/9632340/items/YDDVVN77"],"itemData":{"id":10238,"type":"article-journal","abstract":"Abstract\n            Veno-occlusive disease/sinusoidal obstruction syndrome (VOD/SOS) is a potentially life-threatening complication of haematopoietic cell transplantation (HCT) conditioning. The DEFIFrance post-marketing registry study evaluated effectiveness and safety in patients who received defibrotide. It collected retrospective/prospective patient data from 53 French HCT centres from July 2014 to March 2020. Primary endpoints were survival and complete response (CR; total serum bilirubin &lt;2 mg/dL, multiorgan failure resolution) at Day 100 post-HCT among patients with severe/very severe VOD/SOS. A secondary endpoint was evaluation of treatment-emergent serious adverse events (TESAEs) of interest. Of 798 patients analysed, 251 and 81 received defibrotide treatment for severe/very severe VOD/SOS and mild/moderate VOD/SOS post-HCT, respectively; 381 received defibrotide for VOD/SOS prophylaxis. In patients with severe/very severe VOD/SOS post-HCT, Kaplan–Meier–estimated CR at Day 100 was 74% (95% confidence interval [CI]: 66%, 81%). At Day 100, 137/251 (55%) were alive and in CR. Kaplan–Meier–estimated Day 100 post-HCT survival was 61% (95% CI: 55%, 67%) in patients with severe/very severe VOD/SOS. TESAEs of interest occurred in 29% of these patients; VOD/SOS-related mortality at 12 months was 15%. DEFIFrance represents the largest collection of real-world data on post-registration defibrotide use, supporting the real-world utility of defibrotide for patients with severe/very severe VOD/SOS post-HCT.","container-title":"Bone Marrow Transplantation","DOI":"10.1038/s41409-022-01900-6","ISSN":"0268-3369, 1476-5365","issue":"4","journalAbbreviation":"Bone Marrow Transplant","language":"en","page":"367-376","source":"DOI.org (Crossref)","title":"Real-world use of defibrotide for veno-occlusive disease/sinusoidal obstruction syndrome: the DEFIFrance Registry Study","title-short":"Real-world use of defibrotide for veno-occlusive disease/sinusoidal obstruction syndrome","volume":"58","author":[{"family":"Mohty","given":"Mohamad"},{"family":"Blaise","given":"Didier"},{"family":"Peffault De Latour","given":"Régis"},{"family":"Labopin","given":"Myriam"},{"family":"Bourhis","given":"Jean Henri"},{"family":"Bruno","given":"Benedicte"},{"family":"Ceballos","given":"Patrice"},{"family":"Detrait","given":"Marie"},{"family":"Gandemer","given":"Virginie"},{"family":"Huynh","given":"Anne"},{"family":"Izadifar-Legrand","given":"Faezeh"},{"family":"Jubert","given":"Charlotte"},{"family":"Labussière-Wallet","given":"Hélène"},{"family":"Lebon","given":"Delphine"},{"family":"Maury","given":"Sébastien"},{"family":"Paillard","given":"Catherine"},{"family":"Pochon","given":"Cécile"},{"family":"Renard","given":"Cecile"},{"family":"Rialland","given":"Fanny"},{"family":"Schneider","given":"Pascale"},{"family":"Sirvent","given":"Anne"},{"family":"Asubonteng","given":"Kobby"},{"family":"Guindeuil","given":"Gwennaëlle"},{"family":"Yakoub-Agha","given":"Ibrahim"},{"family":"Dalle","given":"Jean-Hugues"}],"issued":{"date-parts":[["2023",4]]}}}],"schema":"https://github.com/citation-style-language/schema/raw/master/csl-citation.json"} </w:instrText>
      </w:r>
      <w:r w:rsidR="006F467C">
        <w:rPr>
          <w:rFonts w:ascii="Arial" w:hAnsi="Arial" w:cs="Arial"/>
          <w:lang w:val="en-US"/>
        </w:rPr>
        <w:fldChar w:fldCharType="separate"/>
      </w:r>
      <w:r w:rsidR="00AB318A" w:rsidRPr="00AB318A">
        <w:rPr>
          <w:rFonts w:ascii="Arial" w:hAnsi="Arial" w:cs="Arial"/>
          <w:vertAlign w:val="superscript"/>
          <w:lang w:val="en-US"/>
        </w:rPr>
        <w:t>28</w:t>
      </w:r>
      <w:r w:rsidR="006F467C">
        <w:rPr>
          <w:rFonts w:ascii="Arial" w:hAnsi="Arial" w:cs="Arial"/>
          <w:lang w:val="en-US"/>
        </w:rPr>
        <w:fldChar w:fldCharType="end"/>
      </w:r>
      <w:r w:rsidR="00DE76A5">
        <w:rPr>
          <w:rFonts w:ascii="Arial" w:hAnsi="Arial" w:cs="Arial"/>
          <w:lang w:val="en-US"/>
        </w:rPr>
        <w:t xml:space="preserve"> </w:t>
      </w:r>
      <w:r w:rsidR="001474FD">
        <w:rPr>
          <w:rFonts w:ascii="Arial" w:hAnsi="Arial" w:cs="Arial"/>
          <w:lang w:val="en-US"/>
        </w:rPr>
        <w:t xml:space="preserve">and in line with </w:t>
      </w:r>
      <w:r w:rsidR="001474FD" w:rsidRPr="001474FD">
        <w:rPr>
          <w:rFonts w:ascii="Arial" w:hAnsi="Arial" w:cs="Arial"/>
          <w:lang w:val="en-US"/>
        </w:rPr>
        <w:t>a real-world UK experience</w:t>
      </w:r>
      <w:r w:rsidR="001474FD">
        <w:rPr>
          <w:rFonts w:ascii="Arial" w:hAnsi="Arial" w:cs="Arial"/>
          <w:lang w:val="en-US"/>
        </w:rPr>
        <w:fldChar w:fldCharType="begin"/>
      </w:r>
      <w:r w:rsidR="001474FD">
        <w:rPr>
          <w:rFonts w:ascii="Arial" w:hAnsi="Arial" w:cs="Arial"/>
          <w:lang w:val="en-US"/>
        </w:rPr>
        <w:instrText xml:space="preserve"> ADDIN ZOTERO_ITEM CSL_CITATION {"citationID":"HYTK9Qwn","properties":{"formattedCitation":"\\super 40\\nosupersub{}","plainCitation":"40","noteIndex":0},"citationItems":[{"id":10260,"uris":["http://zotero.org/users/9632340/items/GWNXAKRY"],"itemData":{"id":10260,"type":"article-journal","container-title":"American Journal of Transplantation","DOI":"10.1111/ajt.16345","ISSN":"16006135","issue":"2","journalAbbreviation":"American Journal of Transplantation","language":"en","page":"864-869","source":"DOI.org (Crossref)","title":"Early and late-onset veno-occlusive disease/sinusoidal syndrome post allogeneic stem cell transplantation – a real-world UK experience","volume":"21","author":[{"family":"Mehra","given":"Varun"},{"family":"Tetlow","given":"Simon"},{"family":"Choy","given":"Adrian"},{"family":"De Lavallade","given":"Hugues"},{"family":"Kulasekararaj","given":"Austin"},{"family":"Krishnamurthy","given":"Pramila"},{"family":"Avenoso","given":"Daniele"},{"family":"Marsh","given":"Judith"},{"family":"Potter","given":"Victoria"},{"family":"Mufti","given":"Ghulam"},{"family":"Pagliuca","given":"Antonio"},{"family":"Gandhi","given":"Shreyans"}],"issued":{"date-parts":[["2021",2]]}}}],"schema":"https://github.com/citation-style-language/schema/raw/master/csl-citation.json"} </w:instrText>
      </w:r>
      <w:r w:rsidR="001474FD">
        <w:rPr>
          <w:rFonts w:ascii="Arial" w:hAnsi="Arial" w:cs="Arial"/>
          <w:lang w:val="en-US"/>
        </w:rPr>
        <w:fldChar w:fldCharType="separate"/>
      </w:r>
      <w:r w:rsidR="001474FD" w:rsidRPr="001474FD">
        <w:rPr>
          <w:rFonts w:ascii="Arial" w:hAnsi="Arial" w:cs="Arial"/>
          <w:vertAlign w:val="superscript"/>
        </w:rPr>
        <w:t>40</w:t>
      </w:r>
      <w:r w:rsidR="001474FD">
        <w:rPr>
          <w:rFonts w:ascii="Arial" w:hAnsi="Arial" w:cs="Arial"/>
          <w:lang w:val="en-US"/>
        </w:rPr>
        <w:fldChar w:fldCharType="end"/>
      </w:r>
      <w:r>
        <w:rPr>
          <w:rFonts w:ascii="Arial" w:hAnsi="Arial" w:cs="Arial"/>
          <w:lang w:val="en-US"/>
        </w:rPr>
        <w:t>.</w:t>
      </w:r>
      <w:r w:rsidR="00D165EC">
        <w:rPr>
          <w:rFonts w:ascii="Arial" w:hAnsi="Arial" w:cs="Arial"/>
          <w:lang w:val="en-US"/>
        </w:rPr>
        <w:t xml:space="preserve"> </w:t>
      </w:r>
      <w:r>
        <w:rPr>
          <w:rFonts w:ascii="Arial" w:hAnsi="Arial" w:cs="Arial"/>
          <w:lang w:val="en-US"/>
        </w:rPr>
        <w:t xml:space="preserve">It is crucial to understand that the diagnostic test's effectiveness, measured by high PPV and NPV, is not inherent to the test itself but varies depending on the prevalence of the condition being tested for. Although the incidence of the condition may be low, </w:t>
      </w:r>
      <w:r w:rsidR="0086220B">
        <w:rPr>
          <w:rFonts w:ascii="Arial" w:hAnsi="Arial" w:cs="Arial"/>
          <w:lang w:val="en-US"/>
        </w:rPr>
        <w:t xml:space="preserve">our LSM stepwise algorithm </w:t>
      </w:r>
      <w:r>
        <w:rPr>
          <w:rFonts w:ascii="Arial" w:hAnsi="Arial" w:cs="Arial"/>
          <w:lang w:val="en-US"/>
        </w:rPr>
        <w:t>has been shown to have significant diagnostic accuracy even in subgroups of the population.</w:t>
      </w:r>
    </w:p>
    <w:p w14:paraId="20547CB5" w14:textId="479316B2" w:rsidR="0086220B" w:rsidRDefault="0086220B" w:rsidP="00F41625">
      <w:pPr>
        <w:spacing w:line="360" w:lineRule="auto"/>
        <w:jc w:val="both"/>
        <w:rPr>
          <w:rFonts w:ascii="Arial" w:hAnsi="Arial" w:cs="Arial"/>
          <w:lang w:val="en-US"/>
        </w:rPr>
      </w:pPr>
      <w:r w:rsidRPr="0086220B">
        <w:rPr>
          <w:rFonts w:ascii="Arial" w:hAnsi="Arial" w:cs="Arial"/>
          <w:lang w:val="en-US"/>
        </w:rPr>
        <w:t xml:space="preserve">Conducting a prospective, large-scale study, our </w:t>
      </w:r>
      <w:r w:rsidR="000130A0">
        <w:rPr>
          <w:rFonts w:ascii="Arial" w:hAnsi="Arial" w:cs="Arial"/>
          <w:lang w:val="en-US"/>
        </w:rPr>
        <w:t>results</w:t>
      </w:r>
      <w:r w:rsidRPr="0086220B">
        <w:rPr>
          <w:rFonts w:ascii="Arial" w:hAnsi="Arial" w:cs="Arial"/>
          <w:lang w:val="en-US"/>
        </w:rPr>
        <w:t xml:space="preserve"> </w:t>
      </w:r>
      <w:r w:rsidR="00085175">
        <w:rPr>
          <w:rFonts w:ascii="Arial" w:hAnsi="Arial" w:cs="Arial"/>
          <w:lang w:val="en-US"/>
        </w:rPr>
        <w:t>also identified the</w:t>
      </w:r>
      <w:r w:rsidR="000130A0">
        <w:rPr>
          <w:rFonts w:ascii="Arial" w:hAnsi="Arial" w:cs="Arial"/>
          <w:lang w:val="en-US"/>
        </w:rPr>
        <w:t xml:space="preserve"> </w:t>
      </w:r>
      <w:r w:rsidRPr="0086220B">
        <w:rPr>
          <w:rFonts w:ascii="Arial" w:hAnsi="Arial" w:cs="Arial"/>
          <w:lang w:val="en-US"/>
        </w:rPr>
        <w:t>current incidence risk factors</w:t>
      </w:r>
      <w:r w:rsidR="00085175">
        <w:rPr>
          <w:rFonts w:ascii="Arial" w:hAnsi="Arial" w:cs="Arial"/>
          <w:lang w:val="en-US"/>
        </w:rPr>
        <w:t xml:space="preserve"> by a competitive risk model</w:t>
      </w:r>
      <w:r w:rsidRPr="0086220B">
        <w:rPr>
          <w:rFonts w:ascii="Arial" w:hAnsi="Arial" w:cs="Arial"/>
          <w:lang w:val="en-US"/>
        </w:rPr>
        <w:t xml:space="preserve">. </w:t>
      </w:r>
      <w:r w:rsidR="00D165EC">
        <w:rPr>
          <w:rFonts w:ascii="Arial" w:hAnsi="Arial" w:cs="Arial"/>
          <w:lang w:val="en-US"/>
        </w:rPr>
        <w:t>Our</w:t>
      </w:r>
      <w:r w:rsidR="00D165EC" w:rsidRPr="00D165EC">
        <w:rPr>
          <w:rFonts w:ascii="Arial" w:hAnsi="Arial" w:cs="Arial"/>
          <w:lang w:val="en-US"/>
        </w:rPr>
        <w:t xml:space="preserve"> findings confirmed some of the risk factors identified by the EBMT, often derived from retrospective studies and/or expert opinion</w:t>
      </w:r>
      <w:r w:rsidR="006F467C">
        <w:rPr>
          <w:rFonts w:ascii="Arial" w:hAnsi="Arial" w:cs="Arial"/>
          <w:lang w:val="en-US"/>
        </w:rPr>
        <w:fldChar w:fldCharType="begin"/>
      </w:r>
      <w:r w:rsidR="006F467C">
        <w:rPr>
          <w:rFonts w:ascii="Arial" w:hAnsi="Arial" w:cs="Arial"/>
          <w:lang w:val="en-US"/>
        </w:rPr>
        <w:instrText xml:space="preserve"> ADDIN ZOTERO_ITEM CSL_CITATION {"citationID":"R0SZkOzl","properties":{"formattedCitation":"\\super 2,5\\nosupersub{}","plainCitation":"2,5","noteIndex":0},"citationItems":[{"id":10129,"uris":["http://zotero.org/users/9632340/items/Z328MIS8"],"itemData":{"id":10129,"type":"article-journal","container-title":"Bone Marrow Transplantation","DOI":"10.1038/s41409-023-01992-8","ISSN":"0268-3369, 1476-5365","issue":"7","journalAbbreviation":"Bone Marrow Transplant","language":"en","page":"749-754","source":"DOI.org (Crossref)","title":"Diagnosis and severity criteria for sinusoidal obstruction syndrome/veno-occlusive disease in adult patients: a refined classification from the European society for blood and marrow transplantation (EBMT)","title-short":"Diagnosis and severity criteria for sinusoidal obstruction syndrome/veno-occlusive disease in adult patients","volume":"58","author":[{"family":"Mohty","given":"Mohamad"},{"family":"Malard","given":"Florent"},{"family":"Alaskar","given":"Ahmed S."},{"family":"Aljurf","given":"Mahmoud"},{"family":"Arat","given":"Mutlu"},{"family":"Bader","given":"Peter"},{"family":"Baron","given":"Frederic"},{"family":"Bazarbachi","given":"Ali"},{"family":"Blaise","given":"Didier"},{"family":"Brissot","given":"Eolia"},{"family":"Ciceri","given":"Fabio"},{"family":"Corbacioglu","given":"Selim"},{"family":"Dalle","given":"Jean-Hugues"},{"family":"Dignan","given":"Fiona"},{"family":"Huynh","given":"Anne"},{"family":"Kenyon","given":"Michelle"},{"family":"Nagler","given":"Arnon"},{"family":"Pagliuca","given":"Antonio"},{"family":"Perić","given":"Zinaida"},{"family":"Richardson","given":"Paul G."},{"family":"Ruggeri","given":"Annalisa"},{"family":"Ruutu","given":"Tapani"},{"family":"Yakoub-Agha","given":"Ibrahim"},{"family":"Duarte","given":"Rafael F."},{"family":"Carreras","given":"Enric"}],"issued":{"date-parts":[["2023",7]]}}},{"id":4130,"uris":["http://zotero.org/users/9632340/items/3ECRK9BM"],"itemData":{"id":4130,"type":"article-journal","abstract":"The advances in hematopoietic cell transplantation (HCT) over the last decade have led to a transplant-related mortality below 15%. Hepatic sinusoidal obstruction syndrome/veno-occlusive disease (SOS/VOD) is a life-threatening complication of HCT that belongs to a group of diseases increasingly identified as transplant-related, systemic endothelial diseases. In most cases, SOS/VOD resolves within weeks; however, severe SOS/VOD results in multi-organ dysfunction/failure with a mortality rate &gt;80%. A timely diagnosis of SOS/VOD is of critical importance, given the availability of therapeutic options with favorable tolerability. Current diagnostic criteria are used for adults and children. However, over the last decade it has become clear that SOS/VOD is significantly different between the age groups in terms of incidence, genetic predisposition, clinical presentation, prevention, treatment and outcome. Improved understanding of SOS/VOD and the availability of effective treatment questions the use of the Baltimore and Seattle criteria for diagnosing SOS/VOD in children. The aim of this position paper is to propose new diagnostic and severity criteria for SOS/VOD in children on behalf of the European Society for Blood and Marrow Transplantation.","container-title":"Bone Marrow Transplantation","DOI":"10.1038/bmt.2017.161","ISSN":"14765365","issue":"2","note":"publisher: Nature Publishing Group\nPMID: 28759025","page":"138–145","title":"Diagnosis and severity criteria for sinusoidal obstruction syndrome/veno-occlusive disease in pediatric patients: A new classification from the European society for blood and marrow transplantation","volume":"53","author":[{"family":"Corbacioglu","given":"S."},{"family":"Carreras","given":"E."},{"family":"Ansari","given":"M."},{"family":"Balduzzi","given":"A."},{"family":"Cesaro","given":"S."},{"family":"Dalle","given":"J. H."},{"family":"Dignan","given":"F."},{"family":"Gibson","given":"B."},{"family":"Guengoer","given":"T."},{"family":"Gruhn","given":"B."},{"family":"Lankester","given":"A."},{"family":"Locatelli","given":"F."},{"family":"Pagliuca","given":"A."},{"family":"Peters","given":"C."},{"family":"Richardson","given":"P. G."},{"family":"Schulz","given":"A. S."},{"family":"Sedlacek","given":"P."},{"family":"Stein","given":"J."},{"family":"Sykora","given":"K. W."},{"family":"Toporski","given":"J."},{"family":"Trigoso","given":"E."},{"family":"Vetteranta","given":"K."},{"family":"Wachowiak","given":"J."},{"family":"Wallhult","given":"E."},{"family":"Wynn","given":"R."},{"family":"Yaniv","given":"I."},{"family":"Yesilipek","given":"A."},{"family":"Mohty","given":"M."},{"family":"Bader","given":"P."}],"issued":{"date-parts":[["2018",2]]}}}],"schema":"https://github.com/citation-style-language/schema/raw/master/csl-citation.json"} </w:instrText>
      </w:r>
      <w:r w:rsidR="006F467C">
        <w:rPr>
          <w:rFonts w:ascii="Arial" w:hAnsi="Arial" w:cs="Arial"/>
          <w:lang w:val="en-US"/>
        </w:rPr>
        <w:fldChar w:fldCharType="separate"/>
      </w:r>
      <w:r w:rsidR="006F467C" w:rsidRPr="00CD661F">
        <w:rPr>
          <w:rFonts w:ascii="Arial" w:hAnsi="Arial" w:cs="Arial"/>
          <w:vertAlign w:val="superscript"/>
          <w:lang w:val="en-US"/>
        </w:rPr>
        <w:t>2,5</w:t>
      </w:r>
      <w:r w:rsidR="006F467C">
        <w:rPr>
          <w:rFonts w:ascii="Arial" w:hAnsi="Arial" w:cs="Arial"/>
          <w:lang w:val="en-US"/>
        </w:rPr>
        <w:fldChar w:fldCharType="end"/>
      </w:r>
      <w:r w:rsidR="00D165EC" w:rsidRPr="00D165EC">
        <w:rPr>
          <w:rFonts w:ascii="Arial" w:hAnsi="Arial" w:cs="Arial"/>
          <w:lang w:val="en-US"/>
        </w:rPr>
        <w:t xml:space="preserve">. However, they also shed light on how other factors may not be as relevant </w:t>
      </w:r>
      <w:r w:rsidR="00F8078D">
        <w:rPr>
          <w:rFonts w:ascii="Arial" w:hAnsi="Arial" w:cs="Arial"/>
          <w:lang w:val="en-US"/>
        </w:rPr>
        <w:t>n</w:t>
      </w:r>
      <w:r w:rsidR="00D165EC" w:rsidRPr="00D165EC">
        <w:rPr>
          <w:rFonts w:ascii="Arial" w:hAnsi="Arial" w:cs="Arial"/>
          <w:lang w:val="en-US"/>
        </w:rPr>
        <w:t xml:space="preserve">or strongly associated with VOD/SOS in the current epidemiology and management of HSCT today. </w:t>
      </w:r>
      <w:r w:rsidR="001474FD" w:rsidRPr="001474FD">
        <w:rPr>
          <w:rFonts w:ascii="Arial" w:hAnsi="Arial" w:cs="Arial"/>
          <w:lang w:val="en-US"/>
        </w:rPr>
        <w:t>Our investigation elucidated that traditional hepatological risk factors, notably viral hepatitis, may not attain statistical significance. Furthermore, our multivariate analysis unveiled hitherto unrecogni</w:t>
      </w:r>
      <w:r w:rsidR="001474FD">
        <w:rPr>
          <w:rFonts w:ascii="Arial" w:hAnsi="Arial" w:cs="Arial"/>
          <w:lang w:val="en-US"/>
        </w:rPr>
        <w:t>s</w:t>
      </w:r>
      <w:r w:rsidR="001474FD" w:rsidRPr="001474FD">
        <w:rPr>
          <w:rFonts w:ascii="Arial" w:hAnsi="Arial" w:cs="Arial"/>
          <w:lang w:val="en-US"/>
        </w:rPr>
        <w:t>ed risk factors, such as a diagnosis of ALL or conditioning regimens incorporating melphalan, which underscore the necessity for external validation due to their potential clinical implications</w:t>
      </w:r>
      <w:r w:rsidR="00DE76A5">
        <w:rPr>
          <w:rFonts w:ascii="Arial" w:hAnsi="Arial" w:cs="Arial"/>
          <w:lang w:val="en-US"/>
        </w:rPr>
        <w:t xml:space="preserve">. </w:t>
      </w:r>
      <w:r w:rsidRPr="0086220B">
        <w:rPr>
          <w:rFonts w:ascii="Arial" w:hAnsi="Arial" w:cs="Arial"/>
          <w:lang w:val="en-US"/>
        </w:rPr>
        <w:t>This comprehensive approach enhances our understanding of the disease landscape and facilitates the development of targeted interventions.</w:t>
      </w:r>
    </w:p>
    <w:p w14:paraId="0B8A8444" w14:textId="5F6B13C6" w:rsidR="00056F3A" w:rsidRDefault="00185FF2" w:rsidP="00F41625">
      <w:pPr>
        <w:spacing w:line="360" w:lineRule="auto"/>
        <w:jc w:val="both"/>
        <w:rPr>
          <w:rFonts w:ascii="Arial" w:hAnsi="Arial" w:cs="Arial"/>
          <w:lang w:val="en-US"/>
        </w:rPr>
      </w:pPr>
      <w:r w:rsidRPr="00185FF2">
        <w:rPr>
          <w:rFonts w:ascii="Arial" w:hAnsi="Arial" w:cs="Arial"/>
          <w:lang w:val="en-US"/>
        </w:rPr>
        <w:t xml:space="preserve">While our study provides valuable insights, it's essential to acknowledge potential limitations. </w:t>
      </w:r>
      <w:r w:rsidRPr="00DF3A50">
        <w:rPr>
          <w:rFonts w:ascii="Arial" w:hAnsi="Arial" w:cs="Arial"/>
          <w:lang w:val="en-US"/>
        </w:rPr>
        <w:t xml:space="preserve">Critics may question the relationship between incidence, risk factors, and elastometry, as diagnostic measures can be influenced by disease prevalence. However, our study addressed this concern by leaving VOD diagnosis to clinical investigators, ensuring diagnostic accuracy and minimising bias. </w:t>
      </w:r>
      <w:r w:rsidR="00EB46CA" w:rsidRPr="00DF3A50">
        <w:rPr>
          <w:rFonts w:ascii="Arial" w:hAnsi="Arial" w:cs="Arial"/>
          <w:lang w:val="en-US"/>
        </w:rPr>
        <w:t>It's</w:t>
      </w:r>
      <w:r w:rsidR="00EB46CA">
        <w:rPr>
          <w:rFonts w:ascii="Arial" w:hAnsi="Arial" w:cs="Arial"/>
          <w:lang w:val="en-US"/>
        </w:rPr>
        <w:t xml:space="preserve"> important to keep in mind that the results obtained from elastography machines could vary based on the experience of the operator and the type of machine used. This could be due to inconsistencies in the measurements obtained, even though </w:t>
      </w:r>
      <w:r w:rsidR="00605850">
        <w:rPr>
          <w:rFonts w:ascii="Arial" w:hAnsi="Arial" w:cs="Arial"/>
          <w:lang w:val="en-US"/>
        </w:rPr>
        <w:t>most</w:t>
      </w:r>
      <w:r w:rsidR="00EB46CA">
        <w:rPr>
          <w:rFonts w:ascii="Arial" w:hAnsi="Arial" w:cs="Arial"/>
          <w:lang w:val="en-US"/>
        </w:rPr>
        <w:t xml:space="preserve"> of the patients enrolled underwent LSM by Transient Elastography, which requires no learning curve</w:t>
      </w:r>
      <w:r w:rsidR="009C39A4">
        <w:rPr>
          <w:rFonts w:ascii="Arial" w:hAnsi="Arial" w:cs="Arial"/>
          <w:lang w:val="en-US"/>
        </w:rPr>
        <w:fldChar w:fldCharType="begin"/>
      </w:r>
      <w:r w:rsidR="001474FD">
        <w:rPr>
          <w:rFonts w:ascii="Arial" w:hAnsi="Arial" w:cs="Arial"/>
          <w:lang w:val="en-US"/>
        </w:rPr>
        <w:instrText xml:space="preserve"> ADDIN ZOTERO_ITEM CSL_CITATION {"citationID":"jpqvRooV","properties":{"formattedCitation":"\\super 41\\nosupersub{}","plainCitation":"41","noteIndex":0},"citationItems":[{"id":8726,"uris":["http://zotero.org/users/9632340/items/PMCPJZVH"],"itemData":{"id":8726,"type":"article-journal","abstract":"BACKGROUND/AIMS: Fibroscan allows liver stiffness examination (LSE) that is well correlated with fibrosis stages. Our main objective was to evaluate LSE learning curve. METHODS: LSE results of five novice observers with different medical status were compared with those of five expert observers (physicians with &gt;100 examinations) in 250 patients with chronic liver disease. Each novice-expert pair had to blindly examine 50 consecutive patients divided into five consecutive subgroups of 10 patients. RESULTS: In each observer group, novice-expert agreement [intraclass correlation coefficient (Ric)] for LSE results was excellent from the first to the last subgroup. Novice-expert agreement for LSE results varied with liver stiffness level: &lt;9 kPa: Ric=0.49; &gt;or=9 kPa: Ric=0.87. Relative difference (%) between novice and expert LSE results was independently associated with the number of valid LSE measurements, and stabilizes around 20-30% after the fourth valid measurement. In each observer group, novice-expert agreement (Ric) for LSE success rate progressively increased as a function of time. CONCLUSION: LSE requires no learning curve: a novice is able to obtain a reliable result after a single training session, whatever the professional status. However, success rate will progressively increase. An LSE with less than four valid measurements should not be considered as reliable.","container-title":"European journal of gastroenterology &amp; hepatology","DOI":"10.1097/MEG.0b013e3282f51992","ISSN":"0954-691X","issue":"7","note":"PMID: 18679074","page":"693–701","title":"Learning curve and interobserver reproducibility evaluation of liver stiffness measurement by transient elastography.","volume":"20","author":[{"family":"Boursier","given":"Jérôme"},{"family":"Konate","given":"Anselme"},{"family":"Guilluy","given":"Marine"},{"family":"Gorea","given":"Gabriella"},{"family":"Sawadogo","given":"Apollinaire"},{"family":"Quemener","given":"Emmanuel"},{"family":"Oberti","given":"Frédéric"},{"family":"Reaud","given":"Stéphane"},{"family":"Hubert-Fouchard","given":"Isabelle"},{"family":"Dib","given":"Nina"},{"family":"Calès","given":"Paul"}],"issued":{"date-parts":[["2008",7]]}}}],"schema":"https://github.com/citation-style-language/schema/raw/master/csl-citation.json"} </w:instrText>
      </w:r>
      <w:r w:rsidR="009C39A4">
        <w:rPr>
          <w:rFonts w:ascii="Arial" w:hAnsi="Arial" w:cs="Arial"/>
          <w:lang w:val="en-US"/>
        </w:rPr>
        <w:fldChar w:fldCharType="separate"/>
      </w:r>
      <w:r w:rsidR="001474FD" w:rsidRPr="001474FD">
        <w:rPr>
          <w:rFonts w:ascii="Arial" w:hAnsi="Arial" w:cs="Arial"/>
          <w:vertAlign w:val="superscript"/>
        </w:rPr>
        <w:t>41</w:t>
      </w:r>
      <w:r w:rsidR="009C39A4">
        <w:rPr>
          <w:rFonts w:ascii="Arial" w:hAnsi="Arial" w:cs="Arial"/>
          <w:lang w:val="en-US"/>
        </w:rPr>
        <w:fldChar w:fldCharType="end"/>
      </w:r>
      <w:r w:rsidR="00EB46CA">
        <w:rPr>
          <w:rFonts w:ascii="Arial" w:hAnsi="Arial" w:cs="Arial"/>
          <w:lang w:val="en-US"/>
        </w:rPr>
        <w:t xml:space="preserve">. Despite this, it reflects the real-world, multidisciplinary approach used in each centre with successful collaboration. </w:t>
      </w:r>
      <w:r w:rsidR="00EB46CA" w:rsidRPr="00EB46CA">
        <w:rPr>
          <w:rFonts w:ascii="Arial" w:hAnsi="Arial" w:cs="Arial"/>
          <w:lang w:val="en-US"/>
        </w:rPr>
        <w:t xml:space="preserve">Furthermore, our study was not designed to assess the role of pre-clinical diagnosis since we evaluated LSM by schedule. Although we considered LSM </w:t>
      </w:r>
      <w:r w:rsidR="00EB46CA">
        <w:rPr>
          <w:rFonts w:ascii="Arial" w:hAnsi="Arial" w:cs="Arial"/>
          <w:lang w:val="en-US"/>
        </w:rPr>
        <w:t xml:space="preserve">on </w:t>
      </w:r>
      <w:r w:rsidR="00EB46CA" w:rsidRPr="00EB46CA">
        <w:rPr>
          <w:rFonts w:ascii="Arial" w:hAnsi="Arial" w:cs="Arial"/>
          <w:lang w:val="en-US"/>
        </w:rPr>
        <w:t xml:space="preserve">the day of clinical diagnosis, </w:t>
      </w:r>
      <w:r w:rsidR="00605850">
        <w:rPr>
          <w:rFonts w:ascii="Arial" w:hAnsi="Arial" w:cs="Arial"/>
          <w:lang w:val="en-US"/>
        </w:rPr>
        <w:t>it would be possible that earlier assessments or a day-by-day assessment</w:t>
      </w:r>
      <w:r w:rsidR="00EB46CA" w:rsidRPr="00EB46CA">
        <w:rPr>
          <w:rFonts w:ascii="Arial" w:hAnsi="Arial" w:cs="Arial"/>
          <w:lang w:val="en-US"/>
        </w:rPr>
        <w:t xml:space="preserve"> could provide further insights into disease </w:t>
      </w:r>
      <w:r w:rsidR="00FD4356">
        <w:rPr>
          <w:rFonts w:ascii="Arial" w:hAnsi="Arial" w:cs="Arial"/>
          <w:lang w:val="en-US"/>
        </w:rPr>
        <w:t>development and progression</w:t>
      </w:r>
      <w:r w:rsidR="006F467C">
        <w:rPr>
          <w:rFonts w:ascii="Arial" w:hAnsi="Arial" w:cs="Arial"/>
          <w:lang w:val="en-US"/>
        </w:rPr>
        <w:fldChar w:fldCharType="begin"/>
      </w:r>
      <w:r w:rsidR="004F0C0D">
        <w:rPr>
          <w:rFonts w:ascii="Arial" w:hAnsi="Arial" w:cs="Arial"/>
          <w:lang w:val="en-US"/>
        </w:rPr>
        <w:instrText xml:space="preserve"> ADDIN ZOTERO_ITEM CSL_CITATION {"citationID":"JsIOen9R","properties":{"formattedCitation":"\\super 9\\nosupersub{}","plainCitation":"9","noteIndex":0},"citationItems":[{"id":4119,"uris":["http://zotero.org/users/9632340/items/PNPNMMG5"],"itemData":{"id":4119,"type":"document","abstract":"Introduction: Veno-occlusive-disease (VOD), known also as sinusoidal-obstruction-syndrome (SOS), is one of the main complications of haematopoietic stem cell transplantation and is related to the treatment with pyrrolizidine alkaloids or other toxic agents (chemotherapy for liver-metastasis). Clinical diagnosis using the recent criteria from the European Society for Blood and Marrow Transplantation, is the reference for VOD/SOS diagnosis. However, increasing evidence suggests the emerging role of several imaging methods that could help the clinician in VOD/SOS assessment. Areas covered: This review evaluates the current literature on the various imaging techniques used in VOD/SOS diagnosis in several clinical scenarios. Literature searches were performed using several keywords on MEDLINE/Ovid/In-Process/Cochrane Library/EMBASE and PubMed up to July 2018. Expert commentary: Hepatic-gradient-measurement (HVPG) and contextual transjugular-liver-biopsy are invasive and should always be considered in unclear cases. The main studies revolve around ultrasound with Doppler evaluation, identifying numerous findings suggestive of VOD/SOS. However, their accuracy and validation are still suboptimal and controversial. CT-Scan and MRI have shown encouraging data in other contexts in which VOD/SOS can develop, but studies on the post-HSCT patient are lacking. Elastography techniques measuring liver stiffness (LSM) represent the most recent and promising approach for an accurate and early diagnosis of VOD/SOS. In our view, a multidisciplinary approach to the VOD/SOS diagnosis should be highly encouraged.","note":"ISSN: 17474132\nissue: 5\npage: 463–484\ncontainer-title: Expert Review of Gastroenterology and Hepatology\nvolume: 13\nDOI: 10.1080/17474124.2019.1588111\nPMID: 30895833","publisher":"Taylor and Francis Ltd","title":"Role of imaging techniques in liver veno-occlusive disease diagnosis: recent advances and literature review","author":[{"family":"Ravaioli","given":"Federico"},{"family":"Colecchia","given":"Antonio"},{"family":"Alemanni","given":"Luigina Vanessa"},{"family":"Vestito","given":"Amanda"},{"family":"Dajti","given":"Elton"},{"family":"Marasco","given":"Giovanni"},{"family":"Sessa","given":"Mariarosaria"},{"family":"Pession","given":"Andrea"},{"family":"Bonifazi","given":"Francesca"},{"family":"Festi","given":"Davide"}],"issued":{"date-parts":[["2019",5]]}}}],"schema":"https://github.com/citation-style-language/schema/raw/master/csl-citation.json"} </w:instrText>
      </w:r>
      <w:r w:rsidR="006F467C">
        <w:rPr>
          <w:rFonts w:ascii="Arial" w:hAnsi="Arial" w:cs="Arial"/>
          <w:lang w:val="en-US"/>
        </w:rPr>
        <w:fldChar w:fldCharType="separate"/>
      </w:r>
      <w:r w:rsidR="004F0C0D" w:rsidRPr="004F0C0D">
        <w:rPr>
          <w:rFonts w:ascii="Arial" w:hAnsi="Arial" w:cs="Arial"/>
          <w:vertAlign w:val="superscript"/>
          <w:lang w:val="en-US"/>
        </w:rPr>
        <w:t>9</w:t>
      </w:r>
      <w:r w:rsidR="006F467C">
        <w:rPr>
          <w:rFonts w:ascii="Arial" w:hAnsi="Arial" w:cs="Arial"/>
          <w:lang w:val="en-US"/>
        </w:rPr>
        <w:fldChar w:fldCharType="end"/>
      </w:r>
      <w:r w:rsidR="00EB46CA" w:rsidRPr="00EB46CA">
        <w:rPr>
          <w:rFonts w:ascii="Arial" w:hAnsi="Arial" w:cs="Arial"/>
          <w:lang w:val="en-US"/>
        </w:rPr>
        <w:t>. In fact, in 21% of VOD</w:t>
      </w:r>
      <w:r w:rsidR="00EB46CA">
        <w:rPr>
          <w:rFonts w:ascii="Arial" w:hAnsi="Arial" w:cs="Arial"/>
          <w:lang w:val="en-US"/>
        </w:rPr>
        <w:t>/SOS</w:t>
      </w:r>
      <w:r w:rsidR="00EB46CA" w:rsidRPr="00EB46CA">
        <w:rPr>
          <w:rFonts w:ascii="Arial" w:hAnsi="Arial" w:cs="Arial"/>
          <w:lang w:val="en-US"/>
        </w:rPr>
        <w:t xml:space="preserve"> patients, preclinical diagnosis would have been possible when we applied the stepwise algorithm to the LSM the time before the diagnostic LSM. LSM predicts the onset of VOD</w:t>
      </w:r>
      <w:r w:rsidR="00EB46CA">
        <w:rPr>
          <w:rFonts w:ascii="Arial" w:hAnsi="Arial" w:cs="Arial"/>
          <w:lang w:val="en-US"/>
        </w:rPr>
        <w:t>/SOS</w:t>
      </w:r>
      <w:r w:rsidR="00EB46CA" w:rsidRPr="00EB46CA">
        <w:rPr>
          <w:rFonts w:ascii="Arial" w:hAnsi="Arial" w:cs="Arial"/>
          <w:lang w:val="en-US"/>
        </w:rPr>
        <w:t xml:space="preserve"> </w:t>
      </w:r>
      <w:r w:rsidR="00EB46CA">
        <w:rPr>
          <w:rFonts w:ascii="Arial" w:hAnsi="Arial" w:cs="Arial"/>
          <w:lang w:val="en-US"/>
        </w:rPr>
        <w:t>diagnosis</w:t>
      </w:r>
      <w:r w:rsidR="00EB46CA" w:rsidRPr="00EB46CA">
        <w:rPr>
          <w:rFonts w:ascii="Arial" w:hAnsi="Arial" w:cs="Arial"/>
          <w:lang w:val="en-US"/>
        </w:rPr>
        <w:t xml:space="preserve"> by a median of +7 days (ranging from +1 to +11 days), and only 6% of patients without VOD</w:t>
      </w:r>
      <w:r w:rsidR="00EB46CA">
        <w:rPr>
          <w:rFonts w:ascii="Arial" w:hAnsi="Arial" w:cs="Arial"/>
          <w:lang w:val="en-US"/>
        </w:rPr>
        <w:t>/SOS</w:t>
      </w:r>
      <w:r w:rsidR="00EB46CA" w:rsidRPr="00EB46CA">
        <w:rPr>
          <w:rFonts w:ascii="Arial" w:hAnsi="Arial" w:cs="Arial"/>
          <w:lang w:val="en-US"/>
        </w:rPr>
        <w:t xml:space="preserve"> were incorrectly classified.</w:t>
      </w:r>
      <w:r w:rsidR="00605850" w:rsidRPr="00605850">
        <w:rPr>
          <w:lang w:val="en-US"/>
        </w:rPr>
        <w:t xml:space="preserve"> </w:t>
      </w:r>
      <w:r w:rsidR="00605850" w:rsidRPr="00605850">
        <w:rPr>
          <w:rFonts w:ascii="Arial" w:hAnsi="Arial" w:cs="Arial"/>
          <w:lang w:val="en-US"/>
        </w:rPr>
        <w:t>LSM can increase before the onset of clinical symptoms due to the presence of VOD/SOS. During the initial phase of VOD/SOS development, only a few areas near the centrolobular vein (zone 3) are affected by progressive sinusoidal damage, leading to initial necrosis and congestion. Recent studies have shown that these conditions can induce an increase in LSM</w:t>
      </w:r>
      <w:r w:rsidR="004C5935">
        <w:rPr>
          <w:rFonts w:ascii="Arial" w:hAnsi="Arial" w:cs="Arial"/>
          <w:lang w:val="en-US"/>
        </w:rPr>
        <w:t>,</w:t>
      </w:r>
      <w:r w:rsidR="00605850" w:rsidRPr="00605850">
        <w:rPr>
          <w:rFonts w:ascii="Arial" w:hAnsi="Arial" w:cs="Arial"/>
          <w:lang w:val="en-US"/>
        </w:rPr>
        <w:t xml:space="preserve"> even in the absence of CSPH</w:t>
      </w:r>
      <w:r w:rsidR="00605850">
        <w:rPr>
          <w:rFonts w:ascii="Arial" w:hAnsi="Arial" w:cs="Arial"/>
          <w:lang w:val="en-US"/>
        </w:rPr>
        <w:fldChar w:fldCharType="begin"/>
      </w:r>
      <w:r w:rsidR="004F0C0D">
        <w:rPr>
          <w:rFonts w:ascii="Arial" w:hAnsi="Arial" w:cs="Arial"/>
          <w:lang w:val="en-US"/>
        </w:rPr>
        <w:instrText xml:space="preserve"> ADDIN ZOTERO_ITEM CSL_CITATION {"citationID":"duV1FA6I","properties":{"formattedCitation":"\\super 18\\nosupersub{}","plainCitation":"18","noteIndex":0},"citationItems":[{"id":4098,"uris":["http://zotero.org/users/9632340/items/X45WC63B"],"itemData":{"id":4098,"type":"document","note":"ISSN: 16000641\nissue: 3\npage: 545–547\ncontainer-title: Journal of Hepatology\nvolume: 70\nDOI: 10.1016/j.jhep.2018.10.012\nPMID: 30685123","publisher":"Elsevier B.V.","title":"Different techniques for ultrasound liver elastography","author":[{"family":"Mulazzani","given":"Lorenzo"},{"family":"Cantisani","given":"Vito"},{"family":"Piscaglia","given":"Fabio"}],"issued":{"date-parts":[["2019",3]]}}}],"schema":"https://github.com/citation-style-language/schema/raw/master/csl-citation.json"} </w:instrText>
      </w:r>
      <w:r w:rsidR="00605850">
        <w:rPr>
          <w:rFonts w:ascii="Arial" w:hAnsi="Arial" w:cs="Arial"/>
          <w:lang w:val="en-US"/>
        </w:rPr>
        <w:fldChar w:fldCharType="separate"/>
      </w:r>
      <w:r w:rsidR="004F0C0D" w:rsidRPr="004F0C0D">
        <w:rPr>
          <w:rFonts w:ascii="Arial" w:hAnsi="Arial" w:cs="Arial"/>
          <w:vertAlign w:val="superscript"/>
          <w:lang w:val="en-US"/>
        </w:rPr>
        <w:t>18</w:t>
      </w:r>
      <w:r w:rsidR="00605850">
        <w:rPr>
          <w:rFonts w:ascii="Arial" w:hAnsi="Arial" w:cs="Arial"/>
          <w:lang w:val="en-US"/>
        </w:rPr>
        <w:fldChar w:fldCharType="end"/>
      </w:r>
      <w:r w:rsidR="00605850" w:rsidRPr="00605850">
        <w:rPr>
          <w:rFonts w:ascii="Arial" w:hAnsi="Arial" w:cs="Arial"/>
          <w:lang w:val="en-US"/>
        </w:rPr>
        <w:t>.</w:t>
      </w:r>
      <w:r w:rsidR="00EB46CA" w:rsidRPr="00EB46CA">
        <w:rPr>
          <w:lang w:val="en-US"/>
        </w:rPr>
        <w:t xml:space="preserve"> </w:t>
      </w:r>
      <w:r w:rsidR="00FD4356">
        <w:rPr>
          <w:rFonts w:ascii="Arial" w:hAnsi="Arial" w:cs="Arial"/>
          <w:lang w:val="en-US"/>
        </w:rPr>
        <w:t>Finally</w:t>
      </w:r>
      <w:r w:rsidR="00EB46CA" w:rsidRPr="00EB46CA">
        <w:rPr>
          <w:rFonts w:ascii="Arial" w:hAnsi="Arial" w:cs="Arial"/>
          <w:lang w:val="en-US"/>
        </w:rPr>
        <w:t>, the relative</w:t>
      </w:r>
      <w:r w:rsidR="00EB46CA">
        <w:rPr>
          <w:rFonts w:ascii="Arial" w:hAnsi="Arial" w:cs="Arial"/>
          <w:lang w:val="en-US"/>
        </w:rPr>
        <w:t>ly low number of cases assessed by m/sec c</w:t>
      </w:r>
      <w:r w:rsidR="00EB46CA" w:rsidRPr="00EB46CA">
        <w:rPr>
          <w:rFonts w:ascii="Arial" w:hAnsi="Arial" w:cs="Arial"/>
          <w:lang w:val="en-US"/>
        </w:rPr>
        <w:t>ould result in less reliable outcomes when model</w:t>
      </w:r>
      <w:r w:rsidR="00EB46CA">
        <w:rPr>
          <w:rFonts w:ascii="Arial" w:hAnsi="Arial" w:cs="Arial"/>
          <w:lang w:val="en-US"/>
        </w:rPr>
        <w:t>l</w:t>
      </w:r>
      <w:r w:rsidR="00EB46CA" w:rsidRPr="00EB46CA">
        <w:rPr>
          <w:rFonts w:ascii="Arial" w:hAnsi="Arial" w:cs="Arial"/>
          <w:lang w:val="en-US"/>
        </w:rPr>
        <w:t>ing</w:t>
      </w:r>
      <w:r w:rsidR="00F8078D">
        <w:rPr>
          <w:rFonts w:ascii="Arial" w:hAnsi="Arial" w:cs="Arial"/>
          <w:lang w:val="en-US"/>
        </w:rPr>
        <w:t xml:space="preserve">, although the findings are concordant with those obtained with </w:t>
      </w:r>
      <w:r w:rsidR="00605850">
        <w:rPr>
          <w:rFonts w:ascii="Arial" w:hAnsi="Arial" w:cs="Arial"/>
          <w:lang w:val="en-US"/>
        </w:rPr>
        <w:t>kPa</w:t>
      </w:r>
      <w:r w:rsidR="004C5935">
        <w:rPr>
          <w:rFonts w:ascii="Arial" w:hAnsi="Arial" w:cs="Arial"/>
          <w:lang w:val="en-US"/>
        </w:rPr>
        <w:t>.</w:t>
      </w:r>
    </w:p>
    <w:p w14:paraId="0128C19C" w14:textId="1B39A4DD" w:rsidR="00337C6D" w:rsidRPr="00337C6D" w:rsidRDefault="00337C6D" w:rsidP="008F65DC">
      <w:pPr>
        <w:spacing w:line="360" w:lineRule="auto"/>
        <w:jc w:val="both"/>
        <w:rPr>
          <w:rFonts w:ascii="Arial" w:hAnsi="Arial" w:cs="Arial"/>
          <w:lang w:val="en-US"/>
        </w:rPr>
      </w:pPr>
      <w:r>
        <w:rPr>
          <w:rFonts w:ascii="Arial" w:hAnsi="Arial" w:cs="Arial"/>
          <w:lang w:val="en-US"/>
        </w:rPr>
        <w:t>In conclusion, o</w:t>
      </w:r>
      <w:r w:rsidRPr="00337C6D">
        <w:rPr>
          <w:rFonts w:ascii="Arial" w:hAnsi="Arial" w:cs="Arial"/>
          <w:lang w:val="en-US"/>
        </w:rPr>
        <w:t xml:space="preserve">ur study highlights the significant potential of </w:t>
      </w:r>
      <w:r>
        <w:rPr>
          <w:rFonts w:ascii="Arial" w:hAnsi="Arial" w:cs="Arial"/>
          <w:lang w:val="en-US"/>
        </w:rPr>
        <w:t>LSM</w:t>
      </w:r>
      <w:r w:rsidRPr="00337C6D">
        <w:rPr>
          <w:rFonts w:ascii="Arial" w:hAnsi="Arial" w:cs="Arial"/>
          <w:lang w:val="en-US"/>
        </w:rPr>
        <w:t xml:space="preserve"> as a non-invasive diagnostic tool for VOD/SOS following HSCT. The </w:t>
      </w:r>
      <w:r>
        <w:rPr>
          <w:rFonts w:ascii="Arial" w:hAnsi="Arial" w:cs="Arial"/>
          <w:lang w:val="en-US"/>
        </w:rPr>
        <w:t>accuracy</w:t>
      </w:r>
      <w:r w:rsidRPr="00337C6D">
        <w:rPr>
          <w:rFonts w:ascii="Arial" w:hAnsi="Arial" w:cs="Arial"/>
          <w:lang w:val="en-US"/>
        </w:rPr>
        <w:t xml:space="preserve"> of LSM in speeding up diagnosis, helping with differential diagnosis, and predicting treatment response is a remarkable advancement in enhancing </w:t>
      </w:r>
      <w:r>
        <w:rPr>
          <w:rFonts w:ascii="Arial" w:hAnsi="Arial" w:cs="Arial"/>
          <w:lang w:val="en-US"/>
        </w:rPr>
        <w:t xml:space="preserve">VOD/SOS’s </w:t>
      </w:r>
      <w:r w:rsidRPr="00337C6D">
        <w:rPr>
          <w:rFonts w:ascii="Arial" w:hAnsi="Arial" w:cs="Arial"/>
          <w:lang w:val="en-US"/>
        </w:rPr>
        <w:t xml:space="preserve">patient prognoses. </w:t>
      </w:r>
      <w:r>
        <w:rPr>
          <w:rFonts w:ascii="Arial" w:hAnsi="Arial" w:cs="Arial"/>
          <w:lang w:val="en-US"/>
        </w:rPr>
        <w:t xml:space="preserve">LSM by kPa, mainly through </w:t>
      </w:r>
      <w:r w:rsidRPr="00337C6D">
        <w:rPr>
          <w:rFonts w:ascii="Arial" w:hAnsi="Arial" w:cs="Arial"/>
          <w:lang w:val="en-US"/>
        </w:rPr>
        <w:t>TE</w:t>
      </w:r>
      <w:r>
        <w:rPr>
          <w:rFonts w:ascii="Arial" w:hAnsi="Arial" w:cs="Arial"/>
          <w:lang w:val="en-US"/>
        </w:rPr>
        <w:t>,</w:t>
      </w:r>
      <w:r w:rsidRPr="00337C6D">
        <w:rPr>
          <w:rFonts w:ascii="Arial" w:hAnsi="Arial" w:cs="Arial"/>
          <w:lang w:val="en-US"/>
        </w:rPr>
        <w:t xml:space="preserve"> is a promising frontier in the diagnostic and therapeutic armamentarium for</w:t>
      </w:r>
      <w:r>
        <w:rPr>
          <w:rFonts w:ascii="Arial" w:hAnsi="Arial" w:cs="Arial"/>
          <w:lang w:val="en-US"/>
        </w:rPr>
        <w:t xml:space="preserve"> h</w:t>
      </w:r>
      <w:r w:rsidR="000A0F96">
        <w:rPr>
          <w:rFonts w:ascii="Arial" w:hAnsi="Arial" w:cs="Arial"/>
          <w:lang w:val="en-US"/>
        </w:rPr>
        <w:t>a</w:t>
      </w:r>
      <w:r>
        <w:rPr>
          <w:rFonts w:ascii="Arial" w:hAnsi="Arial" w:cs="Arial"/>
          <w:lang w:val="en-US"/>
        </w:rPr>
        <w:t>ematologist</w:t>
      </w:r>
      <w:r w:rsidR="000A0F96">
        <w:rPr>
          <w:rFonts w:ascii="Arial" w:hAnsi="Arial" w:cs="Arial"/>
          <w:lang w:val="en-US"/>
        </w:rPr>
        <w:t>s</w:t>
      </w:r>
      <w:r w:rsidRPr="00337C6D">
        <w:rPr>
          <w:rFonts w:ascii="Arial" w:hAnsi="Arial" w:cs="Arial"/>
          <w:lang w:val="en-US"/>
        </w:rPr>
        <w:t>.</w:t>
      </w:r>
      <w:r>
        <w:rPr>
          <w:rFonts w:ascii="Arial" w:hAnsi="Arial" w:cs="Arial"/>
          <w:lang w:val="en-US"/>
        </w:rPr>
        <w:t xml:space="preserve"> </w:t>
      </w:r>
      <w:r w:rsidRPr="00337C6D">
        <w:rPr>
          <w:rFonts w:ascii="Arial" w:hAnsi="Arial" w:cs="Arial"/>
          <w:lang w:val="en-US"/>
        </w:rPr>
        <w:t>LSM has numerous attributes that make it clinically useful</w:t>
      </w:r>
      <w:r>
        <w:rPr>
          <w:rFonts w:ascii="Arial" w:hAnsi="Arial" w:cs="Arial"/>
          <w:lang w:val="en-US"/>
        </w:rPr>
        <w:t>: i</w:t>
      </w:r>
      <w:r w:rsidRPr="00337C6D">
        <w:rPr>
          <w:rFonts w:ascii="Arial" w:hAnsi="Arial" w:cs="Arial"/>
          <w:lang w:val="en-US"/>
        </w:rPr>
        <w:t>ts non-invasive, ease of use at the bedside, and high patient tolerability make it practical and patient-centric. Furthermore, its reproducibility, standardi</w:t>
      </w:r>
      <w:r w:rsidR="000A0F96">
        <w:rPr>
          <w:rFonts w:ascii="Arial" w:hAnsi="Arial" w:cs="Arial"/>
          <w:lang w:val="en-US"/>
        </w:rPr>
        <w:t>s</w:t>
      </w:r>
      <w:r w:rsidRPr="00337C6D">
        <w:rPr>
          <w:rFonts w:ascii="Arial" w:hAnsi="Arial" w:cs="Arial"/>
          <w:lang w:val="en-US"/>
        </w:rPr>
        <w:t>ed quantitative assessment, and avoidance of radiation, contrast agents, and associated risks of h</w:t>
      </w:r>
      <w:r>
        <w:rPr>
          <w:rFonts w:ascii="Arial" w:hAnsi="Arial" w:cs="Arial"/>
          <w:lang w:val="en-US"/>
        </w:rPr>
        <w:t>a</w:t>
      </w:r>
      <w:r w:rsidRPr="00337C6D">
        <w:rPr>
          <w:rFonts w:ascii="Arial" w:hAnsi="Arial" w:cs="Arial"/>
          <w:lang w:val="en-US"/>
        </w:rPr>
        <w:t>emorrhage or infection make it even more appealing</w:t>
      </w:r>
      <w:r>
        <w:rPr>
          <w:rFonts w:ascii="Arial" w:hAnsi="Arial" w:cs="Arial"/>
          <w:lang w:val="en-US"/>
        </w:rPr>
        <w:t xml:space="preserve"> than the current invasive diagnosis </w:t>
      </w:r>
      <w:r w:rsidR="004C5935">
        <w:rPr>
          <w:rFonts w:ascii="Arial" w:hAnsi="Arial" w:cs="Arial"/>
          <w:lang w:val="en-US"/>
        </w:rPr>
        <w:t>of</w:t>
      </w:r>
      <w:r>
        <w:rPr>
          <w:rFonts w:ascii="Arial" w:hAnsi="Arial" w:cs="Arial"/>
          <w:lang w:val="en-US"/>
        </w:rPr>
        <w:t xml:space="preserve"> HVPG</w:t>
      </w:r>
      <w:r w:rsidR="006F467C">
        <w:rPr>
          <w:rFonts w:ascii="Arial" w:hAnsi="Arial" w:cs="Arial"/>
          <w:lang w:val="en-US"/>
        </w:rPr>
        <w:fldChar w:fldCharType="begin"/>
      </w:r>
      <w:r w:rsidR="004F0C0D">
        <w:rPr>
          <w:rFonts w:ascii="Arial" w:hAnsi="Arial" w:cs="Arial"/>
          <w:lang w:val="en-US"/>
        </w:rPr>
        <w:instrText xml:space="preserve"> ADDIN ZOTERO_ITEM CSL_CITATION {"citationID":"rJwxdogv","properties":{"formattedCitation":"\\super 15\\nosupersub{}","plainCitation":"15","noteIndex":0},"citationItems":[{"id":4284,"uris":["http://zotero.org/users/9632340/items/FIBFP6YQ"],"itemData":{"id":4284,"type":"article-journal","abstract":"Veno-occlusive disease/sinusoidal obstruction syndrome (VOD/SOS) is a potentially life-threatening complication of hematopoietic cell transplantation. Early diagnosis and, subsequently, earlier intervention have been shown to be beneficial to clinical outcomes. Diagnostic criteria from the European Society for Blood and Marrow Transplantation include recommendations on the use of imaging for diagnosis. This review discusses evidence on the use of imaging in the management of VOD/SOS and how imaging biomarkers can contribute to earlier diagnosis/treatment.","container-title":"Biology of Blood and Marrow Transplantation","DOI":"10.1016/j.bbmt.2020.06.016","ISSN":"15236536","issue":"10","note":"publisher: Elsevier\nPMID: 32593647","page":"1770–1779","title":"Imaging in Hepatic Veno-Occlusive Disease/Sinusoidal Obstruction Syndrome","volume":"26","author":[{"family":"Chan","given":"Sherwin S."},{"family":"Colecchia","given":"Antonio"},{"family":"Duarte","given":"Rafael F."},{"family":"Bonifazi","given":"Francesca"},{"family":"Ravaioli","given":"Federico"},{"family":"Bourhis","given":"Jean Henri"}],"issued":{"date-parts":[["2020",6]]}}}],"schema":"https://github.com/citation-style-language/schema/raw/master/csl-citation.json"} </w:instrText>
      </w:r>
      <w:r w:rsidR="006F467C">
        <w:rPr>
          <w:rFonts w:ascii="Arial" w:hAnsi="Arial" w:cs="Arial"/>
          <w:lang w:val="en-US"/>
        </w:rPr>
        <w:fldChar w:fldCharType="separate"/>
      </w:r>
      <w:r w:rsidR="004F0C0D" w:rsidRPr="004F0C0D">
        <w:rPr>
          <w:rFonts w:ascii="Arial" w:hAnsi="Arial" w:cs="Arial"/>
          <w:vertAlign w:val="superscript"/>
          <w:lang w:val="en-US"/>
        </w:rPr>
        <w:t>15</w:t>
      </w:r>
      <w:r w:rsidR="006F467C">
        <w:rPr>
          <w:rFonts w:ascii="Arial" w:hAnsi="Arial" w:cs="Arial"/>
          <w:lang w:val="en-US"/>
        </w:rPr>
        <w:fldChar w:fldCharType="end"/>
      </w:r>
      <w:r w:rsidRPr="00337C6D">
        <w:rPr>
          <w:rFonts w:ascii="Arial" w:hAnsi="Arial" w:cs="Arial"/>
          <w:lang w:val="en-US"/>
        </w:rPr>
        <w:t>. LSM is highly accurate in distinguishing VOD/SOS from other hepatobiliary complications post-HSCT, providing discernment even in the hands of operators with limited ultrasound proficiency.</w:t>
      </w:r>
    </w:p>
    <w:p w14:paraId="14BD3FA5" w14:textId="06ACB00E" w:rsidR="00FD4356" w:rsidRPr="0094447F" w:rsidRDefault="008F65DC" w:rsidP="0094447F">
      <w:pPr>
        <w:spacing w:line="360" w:lineRule="auto"/>
        <w:jc w:val="both"/>
        <w:rPr>
          <w:lang w:val="en-US"/>
        </w:rPr>
      </w:pPr>
      <w:r w:rsidRPr="008F65DC">
        <w:rPr>
          <w:rFonts w:ascii="Arial" w:hAnsi="Arial" w:cs="Arial"/>
          <w:lang w:val="en-US"/>
        </w:rPr>
        <w:t>Looking forward, the trajectory of LSM in the domain of VOD/SOS diagnosis and management persists, driven by imperatives for continued validation and optimi</w:t>
      </w:r>
      <w:r w:rsidR="000A0F96">
        <w:rPr>
          <w:rFonts w:ascii="Arial" w:hAnsi="Arial" w:cs="Arial"/>
          <w:lang w:val="en-US"/>
        </w:rPr>
        <w:t>s</w:t>
      </w:r>
      <w:r w:rsidRPr="008F65DC">
        <w:rPr>
          <w:rFonts w:ascii="Arial" w:hAnsi="Arial" w:cs="Arial"/>
          <w:lang w:val="en-US"/>
        </w:rPr>
        <w:t>ation. Nonetheless, its achievements underscore a substantive stride forward in VOD/SOS diagnosis, fostering enhanced patient care and clinical outcomes.</w:t>
      </w:r>
    </w:p>
    <w:p w14:paraId="25FD8EDE" w14:textId="77777777" w:rsidR="006F467C" w:rsidRDefault="006F467C" w:rsidP="006E3005">
      <w:pPr>
        <w:shd w:val="clear" w:color="auto" w:fill="FFFFFF"/>
        <w:spacing w:line="360" w:lineRule="auto"/>
        <w:jc w:val="both"/>
        <w:rPr>
          <w:rFonts w:ascii="Arial" w:hAnsi="Arial" w:cs="Arial"/>
          <w:strike/>
          <w:lang w:val="en-GB"/>
        </w:rPr>
      </w:pPr>
    </w:p>
    <w:p w14:paraId="53BE19AB" w14:textId="7E37E807" w:rsidR="006E3005" w:rsidRPr="00BA3910" w:rsidRDefault="006E3005" w:rsidP="006E3005">
      <w:pPr>
        <w:shd w:val="clear" w:color="auto" w:fill="FFFFFF"/>
        <w:spacing w:line="360" w:lineRule="auto"/>
        <w:jc w:val="both"/>
        <w:rPr>
          <w:rFonts w:ascii="Arial" w:hAnsi="Arial" w:cs="Arial"/>
          <w:b/>
          <w:lang w:val="en-GB"/>
        </w:rPr>
      </w:pPr>
      <w:r w:rsidRPr="00BA3910">
        <w:rPr>
          <w:rFonts w:ascii="Arial" w:hAnsi="Arial" w:cs="Arial"/>
          <w:b/>
          <w:lang w:val="en-GB"/>
        </w:rPr>
        <w:t xml:space="preserve">Words count </w:t>
      </w:r>
      <w:r w:rsidRPr="00BA3910">
        <w:rPr>
          <w:rFonts w:ascii="Arial" w:hAnsi="Arial" w:cs="Arial"/>
          <w:bCs/>
          <w:sz w:val="21"/>
          <w:szCs w:val="21"/>
          <w:u w:val="single"/>
          <w:lang w:val="en-GB"/>
        </w:rPr>
        <w:t>(max 4500 words):</w:t>
      </w:r>
      <w:r w:rsidRPr="00BA3910">
        <w:rPr>
          <w:rFonts w:ascii="Arial" w:hAnsi="Arial" w:cs="Arial"/>
          <w:b/>
          <w:sz w:val="21"/>
          <w:szCs w:val="21"/>
          <w:lang w:val="en-GB"/>
        </w:rPr>
        <w:t xml:space="preserve"> </w:t>
      </w:r>
      <w:r w:rsidR="00D7106D" w:rsidRPr="00D7106D">
        <w:rPr>
          <w:rFonts w:ascii="Arial" w:hAnsi="Arial" w:cs="Arial"/>
          <w:bCs/>
          <w:color w:val="000000"/>
          <w:highlight w:val="green"/>
          <w:lang w:val="en-GB"/>
        </w:rPr>
        <w:t>4461 (15/4/24)</w:t>
      </w:r>
    </w:p>
    <w:p w14:paraId="3EEB940E" w14:textId="2FDA83C4" w:rsidR="006E3005" w:rsidRPr="00D7106D" w:rsidRDefault="006E3005" w:rsidP="006E3005">
      <w:pPr>
        <w:shd w:val="clear" w:color="auto" w:fill="FFFFFF"/>
        <w:spacing w:line="360" w:lineRule="auto"/>
        <w:jc w:val="both"/>
        <w:rPr>
          <w:rFonts w:ascii="Arial" w:hAnsi="Arial" w:cs="Arial"/>
          <w:bCs/>
          <w:color w:val="000000"/>
          <w:lang w:val="en-GB"/>
        </w:rPr>
      </w:pPr>
      <w:r w:rsidRPr="00BA3910">
        <w:rPr>
          <w:rFonts w:ascii="Arial" w:hAnsi="Arial" w:cs="Arial"/>
          <w:b/>
          <w:lang w:val="en-GB"/>
        </w:rPr>
        <w:t xml:space="preserve">Number of figures and tables: </w:t>
      </w:r>
      <w:r w:rsidR="00D7106D" w:rsidRPr="00D7106D">
        <w:rPr>
          <w:rFonts w:ascii="Arial" w:hAnsi="Arial" w:cs="Arial"/>
          <w:bCs/>
          <w:color w:val="000000"/>
          <w:lang w:val="en-GB"/>
        </w:rPr>
        <w:t>6 tables and 5 figures</w:t>
      </w:r>
    </w:p>
    <w:p w14:paraId="6E9BBC3E" w14:textId="77777777" w:rsidR="006E3005" w:rsidRPr="00BA3910" w:rsidRDefault="006E3005" w:rsidP="00407767">
      <w:pPr>
        <w:spacing w:line="360" w:lineRule="auto"/>
        <w:jc w:val="both"/>
        <w:rPr>
          <w:rFonts w:ascii="Arial" w:hAnsi="Arial" w:cs="Arial"/>
          <w:b/>
          <w:bCs/>
          <w:lang w:val="en-GB"/>
        </w:rPr>
      </w:pPr>
    </w:p>
    <w:p w14:paraId="67918A96" w14:textId="77777777" w:rsidR="00775704" w:rsidRPr="00BA3910" w:rsidRDefault="00775704" w:rsidP="00407767">
      <w:pPr>
        <w:spacing w:line="360" w:lineRule="auto"/>
        <w:jc w:val="both"/>
        <w:rPr>
          <w:rFonts w:ascii="Arial" w:hAnsi="Arial" w:cs="Arial"/>
          <w:b/>
          <w:bCs/>
          <w:lang w:val="en-GB"/>
        </w:rPr>
      </w:pPr>
      <w:r w:rsidRPr="00BA3910">
        <w:rPr>
          <w:rFonts w:ascii="Arial" w:hAnsi="Arial" w:cs="Arial"/>
          <w:b/>
          <w:bCs/>
          <w:lang w:val="en-GB"/>
        </w:rPr>
        <w:t>Contributors</w:t>
      </w:r>
    </w:p>
    <w:p w14:paraId="557E8444" w14:textId="0E0CB721" w:rsidR="00775704" w:rsidRPr="00BA3910" w:rsidRDefault="00664690" w:rsidP="00407767">
      <w:pPr>
        <w:spacing w:line="360" w:lineRule="auto"/>
        <w:jc w:val="both"/>
        <w:rPr>
          <w:rFonts w:ascii="Arial" w:hAnsi="Arial" w:cs="Arial"/>
          <w:lang w:val="en-GB"/>
        </w:rPr>
      </w:pPr>
      <w:r>
        <w:rPr>
          <w:rFonts w:ascii="Arial" w:hAnsi="Arial" w:cs="Arial"/>
          <w:lang w:val="en-GB"/>
        </w:rPr>
        <w:t>FR</w:t>
      </w:r>
      <w:r w:rsidR="006E3005" w:rsidRPr="00BA3910">
        <w:rPr>
          <w:rFonts w:ascii="Arial" w:hAnsi="Arial" w:cs="Arial"/>
          <w:lang w:val="en-GB"/>
        </w:rPr>
        <w:t xml:space="preserve">, </w:t>
      </w:r>
      <w:r>
        <w:rPr>
          <w:rFonts w:ascii="Arial" w:hAnsi="Arial" w:cs="Arial"/>
          <w:lang w:val="en-GB"/>
        </w:rPr>
        <w:t xml:space="preserve">AC, DF, AP, RM, AP, </w:t>
      </w:r>
      <w:r w:rsidR="004C5935">
        <w:rPr>
          <w:rFonts w:ascii="Arial" w:hAnsi="Arial" w:cs="Arial"/>
          <w:lang w:val="en-GB"/>
        </w:rPr>
        <w:t>and FB were responsible for the study concept and design, literature search, collection of</w:t>
      </w:r>
      <w:r w:rsidR="006E3005" w:rsidRPr="00BA3910">
        <w:rPr>
          <w:rFonts w:ascii="Arial" w:hAnsi="Arial" w:cs="Arial"/>
          <w:lang w:val="en-GB"/>
        </w:rPr>
        <w:t xml:space="preserve"> data from participating centres, data review, verification and analysis, interpretation of data, drafting of the manuscript, and</w:t>
      </w:r>
      <w:r w:rsidR="00775704" w:rsidRPr="00BA3910">
        <w:rPr>
          <w:rFonts w:ascii="Arial" w:hAnsi="Arial" w:cs="Arial"/>
          <w:u w:val="single"/>
          <w:lang w:val="en-GB"/>
        </w:rPr>
        <w:t xml:space="preserve"> statistical analysis</w:t>
      </w:r>
      <w:r w:rsidR="00775704" w:rsidRPr="00BA3910">
        <w:rPr>
          <w:rFonts w:ascii="Arial" w:hAnsi="Arial" w:cs="Arial"/>
          <w:lang w:val="en-GB"/>
        </w:rPr>
        <w:t xml:space="preserve">. The remaining authors were responsible for </w:t>
      </w:r>
      <w:r w:rsidR="00775704" w:rsidRPr="00BA3910">
        <w:rPr>
          <w:rFonts w:ascii="Arial" w:hAnsi="Arial" w:cs="Arial"/>
          <w:u w:val="single"/>
          <w:lang w:val="en-GB"/>
        </w:rPr>
        <w:t>obtaining original data, coding and providing data, interpret</w:t>
      </w:r>
      <w:r w:rsidR="006E3005" w:rsidRPr="00BA3910">
        <w:rPr>
          <w:rFonts w:ascii="Arial" w:hAnsi="Arial" w:cs="Arial"/>
          <w:u w:val="single"/>
          <w:lang w:val="en-GB"/>
        </w:rPr>
        <w:t>ing data, and critically revising</w:t>
      </w:r>
      <w:r w:rsidR="00775704" w:rsidRPr="00BA3910">
        <w:rPr>
          <w:rFonts w:ascii="Arial" w:hAnsi="Arial" w:cs="Arial"/>
          <w:lang w:val="en-GB"/>
        </w:rPr>
        <w:t xml:space="preserve"> the manuscript. All authors </w:t>
      </w:r>
      <w:r w:rsidR="00775704" w:rsidRPr="00BA3910">
        <w:rPr>
          <w:rFonts w:ascii="Arial" w:hAnsi="Arial" w:cs="Arial"/>
          <w:u w:val="single"/>
          <w:lang w:val="en-GB"/>
        </w:rPr>
        <w:t>critically revised the manuscript and approved</w:t>
      </w:r>
      <w:r w:rsidR="00775704" w:rsidRPr="00BA3910">
        <w:rPr>
          <w:rFonts w:ascii="Arial" w:hAnsi="Arial" w:cs="Arial"/>
          <w:lang w:val="en-GB"/>
        </w:rPr>
        <w:t xml:space="preserve"> the final version. </w:t>
      </w:r>
      <w:r w:rsidR="006E3005" w:rsidRPr="00BA3910">
        <w:rPr>
          <w:rFonts w:ascii="Arial" w:hAnsi="Arial" w:cs="Arial"/>
          <w:lang w:val="en-GB"/>
        </w:rPr>
        <w:t>All authors were responsible for data and submission decisions.</w:t>
      </w:r>
    </w:p>
    <w:p w14:paraId="71A5147E" w14:textId="77777777" w:rsidR="00E507A1" w:rsidRPr="00BA3910" w:rsidRDefault="00E507A1" w:rsidP="00407767">
      <w:pPr>
        <w:spacing w:line="360" w:lineRule="auto"/>
        <w:jc w:val="both"/>
        <w:rPr>
          <w:rFonts w:ascii="Arial" w:hAnsi="Arial" w:cs="Arial"/>
          <w:b/>
          <w:bCs/>
          <w:lang w:val="en-GB"/>
        </w:rPr>
      </w:pPr>
    </w:p>
    <w:p w14:paraId="65102646" w14:textId="77777777" w:rsidR="00775704" w:rsidRPr="00BA3910" w:rsidRDefault="00775704" w:rsidP="00407767">
      <w:pPr>
        <w:spacing w:line="360" w:lineRule="auto"/>
        <w:jc w:val="both"/>
        <w:rPr>
          <w:rFonts w:ascii="Arial" w:hAnsi="Arial" w:cs="Arial"/>
          <w:b/>
          <w:bCs/>
          <w:lang w:val="en-GB"/>
        </w:rPr>
      </w:pPr>
      <w:commentRangeStart w:id="4"/>
      <w:r w:rsidRPr="00BA3910">
        <w:rPr>
          <w:rFonts w:ascii="Arial" w:hAnsi="Arial" w:cs="Arial"/>
          <w:b/>
          <w:bCs/>
          <w:lang w:val="en-GB"/>
        </w:rPr>
        <w:t>Declaration of interests</w:t>
      </w:r>
      <w:commentRangeEnd w:id="4"/>
      <w:r w:rsidR="00664690">
        <w:rPr>
          <w:rStyle w:val="Rimandocommento"/>
          <w:rFonts w:asciiTheme="minorHAnsi" w:eastAsiaTheme="minorHAnsi" w:hAnsiTheme="minorHAnsi" w:cstheme="minorBidi"/>
          <w:lang w:eastAsia="en-US"/>
        </w:rPr>
        <w:commentReference w:id="4"/>
      </w:r>
    </w:p>
    <w:p w14:paraId="3799390D" w14:textId="528069CF" w:rsidR="00775704" w:rsidRPr="00BA3910" w:rsidRDefault="00E507A1" w:rsidP="00407767">
      <w:pPr>
        <w:spacing w:line="360" w:lineRule="auto"/>
        <w:jc w:val="both"/>
        <w:rPr>
          <w:rFonts w:ascii="Arial" w:hAnsi="Arial" w:cs="Arial"/>
          <w:lang w:val="en-GB"/>
        </w:rPr>
      </w:pPr>
      <w:r w:rsidRPr="00BA3910">
        <w:rPr>
          <w:rFonts w:ascii="Arial" w:hAnsi="Arial" w:cs="Arial"/>
          <w:bCs/>
          <w:highlight w:val="yellow"/>
          <w:lang w:val="en-GB"/>
        </w:rPr>
        <w:t>XXX</w:t>
      </w:r>
      <w:r w:rsidR="00775704" w:rsidRPr="00BA3910">
        <w:rPr>
          <w:rFonts w:ascii="Arial" w:hAnsi="Arial" w:cs="Arial"/>
          <w:bCs/>
          <w:lang w:val="en-GB"/>
        </w:rPr>
        <w:t xml:space="preserve"> has received research </w:t>
      </w:r>
      <w:r w:rsidR="00775704" w:rsidRPr="00BA3910">
        <w:rPr>
          <w:rFonts w:ascii="Arial" w:hAnsi="Arial" w:cs="Arial"/>
          <w:bCs/>
          <w:u w:val="single"/>
          <w:lang w:val="en-GB"/>
        </w:rPr>
        <w:t>funding</w:t>
      </w:r>
      <w:r w:rsidR="00775704" w:rsidRPr="00BA3910">
        <w:rPr>
          <w:rFonts w:ascii="Arial" w:hAnsi="Arial" w:cs="Arial"/>
          <w:bCs/>
          <w:lang w:val="en-GB"/>
        </w:rPr>
        <w:t xml:space="preserve"> from </w:t>
      </w:r>
      <w:r w:rsidRPr="00BA3910">
        <w:rPr>
          <w:rFonts w:ascii="Arial" w:hAnsi="Arial" w:cs="Arial"/>
          <w:bCs/>
          <w:highlight w:val="yellow"/>
          <w:lang w:val="en-GB"/>
        </w:rPr>
        <w:t>XXX</w:t>
      </w:r>
      <w:r w:rsidRPr="00BA3910">
        <w:rPr>
          <w:rFonts w:ascii="Arial" w:hAnsi="Arial" w:cs="Arial"/>
          <w:bCs/>
          <w:lang w:val="en-GB"/>
        </w:rPr>
        <w:t xml:space="preserve"> </w:t>
      </w:r>
      <w:r w:rsidR="00775704" w:rsidRPr="00BA3910">
        <w:rPr>
          <w:rFonts w:ascii="Arial" w:hAnsi="Arial" w:cs="Arial"/>
          <w:bCs/>
          <w:lang w:val="en-GB"/>
        </w:rPr>
        <w:t xml:space="preserve">and acted as a </w:t>
      </w:r>
      <w:r w:rsidR="00775704" w:rsidRPr="00BA3910">
        <w:rPr>
          <w:rFonts w:ascii="Arial" w:hAnsi="Arial" w:cs="Arial"/>
          <w:bCs/>
          <w:u w:val="single"/>
          <w:lang w:val="en-GB"/>
        </w:rPr>
        <w:t>consultant</w:t>
      </w:r>
      <w:r w:rsidR="00775704" w:rsidRPr="00BA3910">
        <w:rPr>
          <w:rFonts w:ascii="Arial" w:hAnsi="Arial" w:cs="Arial"/>
          <w:bCs/>
          <w:lang w:val="en-GB"/>
        </w:rPr>
        <w:t xml:space="preserve"> for </w:t>
      </w:r>
      <w:r w:rsidRPr="00BA3910">
        <w:rPr>
          <w:rFonts w:ascii="Arial" w:hAnsi="Arial" w:cs="Arial"/>
          <w:bCs/>
          <w:highlight w:val="yellow"/>
          <w:lang w:val="en-GB"/>
        </w:rPr>
        <w:t>XXX</w:t>
      </w:r>
      <w:r w:rsidRPr="00BA3910">
        <w:rPr>
          <w:rFonts w:ascii="Arial" w:hAnsi="Arial" w:cs="Arial"/>
          <w:bCs/>
          <w:lang w:val="en-GB"/>
        </w:rPr>
        <w:t>;</w:t>
      </w:r>
      <w:r w:rsidR="00775704" w:rsidRPr="00BA3910">
        <w:rPr>
          <w:rFonts w:ascii="Arial" w:hAnsi="Arial" w:cs="Arial"/>
          <w:bCs/>
          <w:lang w:val="en-GB"/>
        </w:rPr>
        <w:t xml:space="preserve"> received </w:t>
      </w:r>
      <w:r w:rsidR="00775704" w:rsidRPr="00BA3910">
        <w:rPr>
          <w:rFonts w:ascii="Arial" w:hAnsi="Arial" w:cs="Arial"/>
          <w:bCs/>
          <w:u w:val="single"/>
          <w:lang w:val="en-GB"/>
        </w:rPr>
        <w:t>speaker fees</w:t>
      </w:r>
      <w:r w:rsidR="00775704" w:rsidRPr="00BA3910">
        <w:rPr>
          <w:rFonts w:ascii="Arial" w:hAnsi="Arial" w:cs="Arial"/>
          <w:bCs/>
          <w:lang w:val="en-GB"/>
        </w:rPr>
        <w:t xml:space="preserve"> from </w:t>
      </w:r>
      <w:r w:rsidRPr="00BA3910">
        <w:rPr>
          <w:rFonts w:ascii="Arial" w:hAnsi="Arial" w:cs="Arial"/>
          <w:bCs/>
          <w:highlight w:val="yellow"/>
          <w:lang w:val="en-GB"/>
        </w:rPr>
        <w:t>XXX</w:t>
      </w:r>
      <w:r w:rsidR="00775704" w:rsidRPr="00BA3910">
        <w:rPr>
          <w:rFonts w:ascii="Arial" w:hAnsi="Arial" w:cs="Arial"/>
          <w:bCs/>
          <w:lang w:val="en-GB"/>
        </w:rPr>
        <w:t xml:space="preserve">. </w:t>
      </w:r>
      <w:r w:rsidRPr="00BA3910">
        <w:rPr>
          <w:rFonts w:ascii="Arial" w:hAnsi="Arial" w:cs="Arial"/>
          <w:bCs/>
          <w:highlight w:val="yellow"/>
          <w:lang w:val="en-GB"/>
        </w:rPr>
        <w:t>XXX</w:t>
      </w:r>
      <w:r w:rsidRPr="00BA3910">
        <w:rPr>
          <w:rFonts w:ascii="Arial" w:hAnsi="Arial" w:cs="Arial"/>
          <w:bCs/>
          <w:lang w:val="en-GB"/>
        </w:rPr>
        <w:t xml:space="preserve"> </w:t>
      </w:r>
      <w:r w:rsidR="00775704" w:rsidRPr="00BA3910">
        <w:rPr>
          <w:rFonts w:ascii="Arial" w:hAnsi="Arial" w:cs="Arial"/>
          <w:bCs/>
          <w:lang w:val="en-GB"/>
        </w:rPr>
        <w:t xml:space="preserve">received </w:t>
      </w:r>
      <w:r w:rsidR="00775704" w:rsidRPr="00BA3910">
        <w:rPr>
          <w:rFonts w:ascii="Arial" w:hAnsi="Arial" w:cs="Arial"/>
          <w:bCs/>
          <w:u w:val="single"/>
          <w:lang w:val="en-GB"/>
        </w:rPr>
        <w:t>grant support</w:t>
      </w:r>
      <w:r w:rsidR="00775704" w:rsidRPr="00BA3910">
        <w:rPr>
          <w:rFonts w:ascii="Arial" w:hAnsi="Arial" w:cs="Arial"/>
          <w:bCs/>
          <w:lang w:val="en-GB"/>
        </w:rPr>
        <w:t xml:space="preserve"> from </w:t>
      </w:r>
      <w:r w:rsidRPr="00BA3910">
        <w:rPr>
          <w:rFonts w:ascii="Arial" w:hAnsi="Arial" w:cs="Arial"/>
          <w:bCs/>
          <w:highlight w:val="yellow"/>
          <w:lang w:val="en-GB"/>
        </w:rPr>
        <w:t>XXX</w:t>
      </w:r>
      <w:r w:rsidR="004C5935">
        <w:rPr>
          <w:rFonts w:ascii="Arial" w:hAnsi="Arial" w:cs="Arial"/>
          <w:bCs/>
          <w:highlight w:val="yellow"/>
          <w:lang w:val="en-GB"/>
        </w:rPr>
        <w:t>, consulting/advisory board fees from XXX,</w:t>
      </w:r>
      <w:r w:rsidR="00775704" w:rsidRPr="00BA3910">
        <w:rPr>
          <w:rFonts w:ascii="Arial" w:hAnsi="Arial" w:cs="Arial"/>
          <w:bCs/>
          <w:lang w:val="en-GB"/>
        </w:rPr>
        <w:t xml:space="preserve"> and </w:t>
      </w:r>
      <w:r w:rsidR="00775704" w:rsidRPr="00BA3910">
        <w:rPr>
          <w:rFonts w:ascii="Arial" w:hAnsi="Arial" w:cs="Arial"/>
          <w:bCs/>
          <w:u w:val="single"/>
          <w:lang w:val="en-GB"/>
        </w:rPr>
        <w:t>travel support</w:t>
      </w:r>
      <w:r w:rsidR="00775704" w:rsidRPr="00BA3910">
        <w:rPr>
          <w:rFonts w:ascii="Arial" w:hAnsi="Arial" w:cs="Arial"/>
          <w:bCs/>
          <w:lang w:val="en-GB"/>
        </w:rPr>
        <w:t xml:space="preserve"> from </w:t>
      </w:r>
      <w:r w:rsidRPr="00BA3910">
        <w:rPr>
          <w:rFonts w:ascii="Arial" w:hAnsi="Arial" w:cs="Arial"/>
          <w:bCs/>
          <w:highlight w:val="yellow"/>
          <w:lang w:val="en-GB"/>
        </w:rPr>
        <w:t>XXX</w:t>
      </w:r>
      <w:r w:rsidRPr="00BA3910">
        <w:rPr>
          <w:rFonts w:ascii="Arial" w:hAnsi="Arial" w:cs="Arial"/>
          <w:bCs/>
          <w:lang w:val="en-GB"/>
        </w:rPr>
        <w:t>.</w:t>
      </w:r>
      <w:r w:rsidR="00775704" w:rsidRPr="00BA3910">
        <w:rPr>
          <w:rFonts w:ascii="Arial" w:hAnsi="Arial" w:cs="Arial"/>
          <w:bCs/>
          <w:lang w:val="en-GB"/>
        </w:rPr>
        <w:t xml:space="preserve"> </w:t>
      </w:r>
      <w:r w:rsidR="00775704" w:rsidRPr="00BA3910">
        <w:rPr>
          <w:rFonts w:ascii="Arial" w:hAnsi="Arial" w:cs="Arial"/>
          <w:lang w:val="en-GB"/>
        </w:rPr>
        <w:t>The other authors declare no conflict of interest.</w:t>
      </w:r>
    </w:p>
    <w:p w14:paraId="0C2E779A" w14:textId="77777777" w:rsidR="00160288" w:rsidRDefault="00160288" w:rsidP="00407767">
      <w:pPr>
        <w:spacing w:line="360" w:lineRule="auto"/>
        <w:jc w:val="both"/>
        <w:rPr>
          <w:rFonts w:ascii="Arial" w:hAnsi="Arial" w:cs="Arial"/>
          <w:b/>
          <w:bCs/>
          <w:lang w:val="en-GB"/>
        </w:rPr>
      </w:pPr>
    </w:p>
    <w:p w14:paraId="416F5A18" w14:textId="77777777" w:rsidR="00D70918" w:rsidRDefault="00D70918" w:rsidP="00407767">
      <w:pPr>
        <w:spacing w:line="360" w:lineRule="auto"/>
        <w:jc w:val="both"/>
        <w:rPr>
          <w:rFonts w:ascii="Arial" w:hAnsi="Arial" w:cs="Arial"/>
          <w:b/>
          <w:bCs/>
          <w:lang w:val="en-GB"/>
        </w:rPr>
      </w:pPr>
    </w:p>
    <w:p w14:paraId="1AB3ECF9" w14:textId="77777777" w:rsidR="00D70918" w:rsidRPr="00BA3910" w:rsidRDefault="00D70918" w:rsidP="00407767">
      <w:pPr>
        <w:spacing w:line="360" w:lineRule="auto"/>
        <w:jc w:val="both"/>
        <w:rPr>
          <w:rFonts w:ascii="Arial" w:hAnsi="Arial" w:cs="Arial"/>
          <w:b/>
          <w:bCs/>
          <w:lang w:val="en-GB"/>
        </w:rPr>
      </w:pPr>
    </w:p>
    <w:p w14:paraId="6DAEF42F" w14:textId="53363F6E" w:rsidR="00775704" w:rsidRPr="00BA3910" w:rsidRDefault="00775704" w:rsidP="00407767">
      <w:pPr>
        <w:spacing w:line="360" w:lineRule="auto"/>
        <w:jc w:val="both"/>
        <w:rPr>
          <w:rFonts w:ascii="Arial" w:hAnsi="Arial" w:cs="Arial"/>
          <w:b/>
          <w:bCs/>
          <w:lang w:val="en-GB"/>
        </w:rPr>
      </w:pPr>
      <w:r w:rsidRPr="00BA3910">
        <w:rPr>
          <w:rFonts w:ascii="Arial" w:hAnsi="Arial" w:cs="Arial"/>
          <w:b/>
          <w:bCs/>
          <w:lang w:val="en-GB"/>
        </w:rPr>
        <w:t xml:space="preserve">Data </w:t>
      </w:r>
      <w:r w:rsidR="004C5935">
        <w:rPr>
          <w:rFonts w:ascii="Arial" w:hAnsi="Arial" w:cs="Arial"/>
          <w:b/>
          <w:bCs/>
          <w:lang w:val="en-GB"/>
        </w:rPr>
        <w:t>S</w:t>
      </w:r>
      <w:r w:rsidRPr="00BA3910">
        <w:rPr>
          <w:rFonts w:ascii="Arial" w:hAnsi="Arial" w:cs="Arial"/>
          <w:b/>
          <w:bCs/>
          <w:lang w:val="en-GB"/>
        </w:rPr>
        <w:t>haring</w:t>
      </w:r>
    </w:p>
    <w:p w14:paraId="6BDA937A" w14:textId="5513291E" w:rsidR="008868F7" w:rsidRPr="00BA3910" w:rsidRDefault="008868F7" w:rsidP="00407767">
      <w:pPr>
        <w:spacing w:line="360" w:lineRule="auto"/>
        <w:jc w:val="both"/>
        <w:rPr>
          <w:rFonts w:ascii="Arial" w:hAnsi="Arial" w:cs="Arial"/>
          <w:lang w:val="en-GB"/>
        </w:rPr>
      </w:pPr>
      <w:r w:rsidRPr="00BA3910">
        <w:rPr>
          <w:rFonts w:ascii="Arial" w:hAnsi="Arial" w:cs="Arial"/>
          <w:lang w:val="en-GB"/>
        </w:rPr>
        <w:t>Deidentified individual participant data will be made available by contacting the corresponding author. Study proposals will need to be approved by the Scientific Committee of the ELASTO</w:t>
      </w:r>
      <w:r w:rsidR="000D1ED3" w:rsidRPr="00BA3910">
        <w:rPr>
          <w:rFonts w:ascii="Arial" w:hAnsi="Arial" w:cs="Arial"/>
          <w:lang w:val="en-GB"/>
        </w:rPr>
        <w:t>VOD/SOS</w:t>
      </w:r>
      <w:r w:rsidRPr="00BA3910">
        <w:rPr>
          <w:rFonts w:ascii="Arial" w:hAnsi="Arial" w:cs="Arial"/>
          <w:lang w:val="en-GB"/>
        </w:rPr>
        <w:t xml:space="preserve"> Study Group and approved by the Institutional Ethical Committee of IRCCS Sant’Orsola-Malpighi University Hospital (Bologna, Italy).</w:t>
      </w:r>
    </w:p>
    <w:p w14:paraId="3B589872" w14:textId="77777777" w:rsidR="000B678F" w:rsidRPr="00BA3910" w:rsidRDefault="000B678F" w:rsidP="00407767">
      <w:pPr>
        <w:spacing w:line="360" w:lineRule="auto"/>
        <w:jc w:val="both"/>
        <w:rPr>
          <w:rFonts w:ascii="Arial" w:hAnsi="Arial" w:cs="Arial"/>
          <w:lang w:val="en-GB"/>
        </w:rPr>
      </w:pPr>
    </w:p>
    <w:p w14:paraId="27A4E5F4" w14:textId="77777777" w:rsidR="002567EE" w:rsidRPr="00BA3910" w:rsidRDefault="002567EE" w:rsidP="002567EE">
      <w:pPr>
        <w:spacing w:line="360" w:lineRule="auto"/>
        <w:jc w:val="both"/>
        <w:rPr>
          <w:rFonts w:ascii="Arial" w:hAnsi="Arial" w:cs="Arial"/>
          <w:b/>
          <w:bCs/>
          <w:sz w:val="28"/>
          <w:szCs w:val="28"/>
          <w:lang w:val="en-GB"/>
        </w:rPr>
      </w:pPr>
      <w:r w:rsidRPr="00BA3910">
        <w:rPr>
          <w:rFonts w:ascii="Arial" w:hAnsi="Arial" w:cs="Arial"/>
          <w:b/>
          <w:bCs/>
          <w:sz w:val="28"/>
          <w:szCs w:val="28"/>
          <w:lang w:val="en-GB"/>
        </w:rPr>
        <w:t>Legend of figures and tables</w:t>
      </w:r>
    </w:p>
    <w:p w14:paraId="517DB198" w14:textId="77777777" w:rsidR="002567EE" w:rsidRPr="002567EE" w:rsidRDefault="002567EE" w:rsidP="002567EE">
      <w:pPr>
        <w:pStyle w:val="Paragrafoelenco"/>
        <w:numPr>
          <w:ilvl w:val="0"/>
          <w:numId w:val="9"/>
        </w:numPr>
        <w:spacing w:line="360" w:lineRule="auto"/>
        <w:jc w:val="both"/>
        <w:rPr>
          <w:rFonts w:ascii="Arial" w:hAnsi="Arial" w:cs="Arial"/>
          <w:lang w:val="en-US"/>
        </w:rPr>
      </w:pPr>
      <w:r w:rsidRPr="002567EE">
        <w:rPr>
          <w:rFonts w:ascii="Arial" w:hAnsi="Arial" w:cs="Arial"/>
          <w:b/>
          <w:bCs/>
          <w:lang w:val="en-GB"/>
        </w:rPr>
        <w:t>Figure 1:</w:t>
      </w:r>
      <w:r w:rsidRPr="002567EE">
        <w:rPr>
          <w:rFonts w:ascii="Arial" w:hAnsi="Arial" w:cs="Arial"/>
          <w:lang w:val="en-GB"/>
        </w:rPr>
        <w:t xml:space="preserve"> CONSORT flow diagram of ELASTOVOD study</w:t>
      </w:r>
    </w:p>
    <w:p w14:paraId="300FF972" w14:textId="77777777" w:rsidR="002567EE" w:rsidRPr="002567EE" w:rsidRDefault="002567EE" w:rsidP="002567EE">
      <w:pPr>
        <w:pStyle w:val="Paragrafoelenco"/>
        <w:numPr>
          <w:ilvl w:val="0"/>
          <w:numId w:val="9"/>
        </w:numPr>
        <w:spacing w:line="360" w:lineRule="auto"/>
        <w:jc w:val="both"/>
        <w:rPr>
          <w:rFonts w:ascii="Arial" w:hAnsi="Arial" w:cs="Arial"/>
          <w:lang w:val="en-US"/>
        </w:rPr>
      </w:pPr>
      <w:r w:rsidRPr="002567EE">
        <w:rPr>
          <w:rFonts w:ascii="Arial" w:hAnsi="Arial" w:cs="Arial"/>
          <w:b/>
          <w:bCs/>
          <w:lang w:val="en-US"/>
        </w:rPr>
        <w:t>Figure 2:</w:t>
      </w:r>
      <w:r w:rsidRPr="002567EE">
        <w:rPr>
          <w:rFonts w:ascii="Arial" w:hAnsi="Arial" w:cs="Arial"/>
          <w:lang w:val="en-US"/>
        </w:rPr>
        <w:t xml:space="preserve"> </w:t>
      </w:r>
      <w:r w:rsidRPr="002567EE">
        <w:rPr>
          <w:rFonts w:ascii="Arial" w:hAnsi="Arial" w:cs="Arial"/>
          <w:lang w:val="en-GB"/>
        </w:rPr>
        <w:t xml:space="preserve">+100-day cumulative incidence (2A) of SOS/VOD and overall survival (2B) </w:t>
      </w:r>
    </w:p>
    <w:p w14:paraId="4BD5E800" w14:textId="77777777" w:rsidR="002567EE" w:rsidRPr="002567EE" w:rsidRDefault="002567EE" w:rsidP="002567EE">
      <w:pPr>
        <w:pStyle w:val="Paragrafoelenco"/>
        <w:numPr>
          <w:ilvl w:val="0"/>
          <w:numId w:val="9"/>
        </w:numPr>
        <w:spacing w:line="360" w:lineRule="auto"/>
        <w:jc w:val="both"/>
        <w:rPr>
          <w:rFonts w:ascii="Arial" w:hAnsi="Arial" w:cs="Arial"/>
          <w:lang w:val="en-US"/>
        </w:rPr>
      </w:pPr>
      <w:r w:rsidRPr="002567EE">
        <w:rPr>
          <w:rFonts w:ascii="Arial" w:hAnsi="Arial" w:cs="Arial"/>
          <w:b/>
          <w:bCs/>
          <w:lang w:val="en-US"/>
        </w:rPr>
        <w:t>Figure 3:</w:t>
      </w:r>
      <w:r w:rsidRPr="002567EE">
        <w:rPr>
          <w:rFonts w:ascii="Arial" w:hAnsi="Arial" w:cs="Arial"/>
          <w:lang w:val="en-US"/>
        </w:rPr>
        <w:t xml:space="preserve"> </w:t>
      </w:r>
      <w:r w:rsidRPr="002567EE">
        <w:rPr>
          <w:rFonts w:ascii="Arial" w:hAnsi="Arial" w:cs="Arial"/>
          <w:lang w:val="en-GB"/>
        </w:rPr>
        <w:t xml:space="preserve">Violin plot depicting the liver stiffness measurement (kPa) by SOS/VOD diagnosis at different time points (3A) and accordingly to the SOS/VOD severity (3B) </w:t>
      </w:r>
    </w:p>
    <w:p w14:paraId="4A81ED8E" w14:textId="77777777" w:rsidR="002567EE" w:rsidRPr="002567EE" w:rsidRDefault="002567EE" w:rsidP="002567EE">
      <w:pPr>
        <w:pStyle w:val="Paragrafoelenco"/>
        <w:numPr>
          <w:ilvl w:val="0"/>
          <w:numId w:val="9"/>
        </w:numPr>
        <w:spacing w:line="360" w:lineRule="auto"/>
        <w:jc w:val="both"/>
        <w:rPr>
          <w:rFonts w:ascii="Arial" w:hAnsi="Arial" w:cs="Arial"/>
          <w:lang w:val="en-US"/>
        </w:rPr>
      </w:pPr>
      <w:r w:rsidRPr="002567EE">
        <w:rPr>
          <w:rFonts w:ascii="Arial" w:hAnsi="Arial" w:cs="Arial"/>
          <w:b/>
          <w:bCs/>
          <w:lang w:val="en-US"/>
        </w:rPr>
        <w:t>Figure 4:</w:t>
      </w:r>
      <w:r w:rsidRPr="002567EE">
        <w:rPr>
          <w:rFonts w:ascii="Arial" w:hAnsi="Arial" w:cs="Arial"/>
          <w:lang w:val="en-US"/>
        </w:rPr>
        <w:t xml:space="preserve"> </w:t>
      </w:r>
      <w:r w:rsidRPr="002567EE">
        <w:rPr>
          <w:rFonts w:ascii="Arial" w:hAnsi="Arial" w:cs="Arial"/>
          <w:lang w:val="en-GB"/>
        </w:rPr>
        <w:t>Modification of liver stiffness measurement (by kPa) during the follow-up after SOS/VOD diagnosis and treatment</w:t>
      </w:r>
    </w:p>
    <w:p w14:paraId="6CDB402E" w14:textId="77777777" w:rsidR="002567EE" w:rsidRPr="002567EE" w:rsidRDefault="002567EE" w:rsidP="002567EE">
      <w:pPr>
        <w:pStyle w:val="Paragrafoelenco"/>
        <w:numPr>
          <w:ilvl w:val="0"/>
          <w:numId w:val="9"/>
        </w:numPr>
        <w:spacing w:line="360" w:lineRule="auto"/>
        <w:jc w:val="both"/>
        <w:rPr>
          <w:rFonts w:ascii="Arial" w:hAnsi="Arial" w:cs="Arial"/>
          <w:lang w:val="en-US"/>
        </w:rPr>
      </w:pPr>
      <w:r w:rsidRPr="002567EE">
        <w:rPr>
          <w:rFonts w:ascii="Arial" w:hAnsi="Arial" w:cs="Arial"/>
          <w:b/>
          <w:bCs/>
          <w:lang w:val="en-US"/>
        </w:rPr>
        <w:t>Figure 5:</w:t>
      </w:r>
      <w:r w:rsidRPr="002567EE">
        <w:rPr>
          <w:rFonts w:ascii="Arial" w:hAnsi="Arial" w:cs="Arial"/>
          <w:lang w:val="en-US"/>
        </w:rPr>
        <w:t xml:space="preserve"> </w:t>
      </w:r>
      <w:r w:rsidRPr="002567EE">
        <w:rPr>
          <w:rFonts w:ascii="Arial" w:hAnsi="Arial" w:cs="Arial"/>
          <w:lang w:val="en-GB"/>
        </w:rPr>
        <w:t xml:space="preserve">Differential diagnosis between SOS/VOD and other liver-related complications with +100 days after SCT by liver stiffness measurement (4A by kPa; 4B by m/sec) </w:t>
      </w:r>
    </w:p>
    <w:p w14:paraId="50DD2142" w14:textId="323A0346" w:rsidR="000B678F" w:rsidRDefault="000B678F" w:rsidP="00407767">
      <w:pPr>
        <w:spacing w:line="360" w:lineRule="auto"/>
        <w:jc w:val="both"/>
        <w:rPr>
          <w:rFonts w:ascii="Arial" w:hAnsi="Arial" w:cs="Arial"/>
          <w:lang w:val="en-US"/>
        </w:rPr>
      </w:pPr>
    </w:p>
    <w:p w14:paraId="24156291" w14:textId="77777777" w:rsidR="002567EE" w:rsidRDefault="002567EE" w:rsidP="002567EE">
      <w:pPr>
        <w:pStyle w:val="Paragrafoelenco"/>
        <w:numPr>
          <w:ilvl w:val="0"/>
          <w:numId w:val="9"/>
        </w:numPr>
        <w:spacing w:line="360" w:lineRule="auto"/>
        <w:jc w:val="both"/>
        <w:rPr>
          <w:rFonts w:ascii="Arial" w:hAnsi="Arial" w:cs="Arial"/>
          <w:lang w:val="en-US"/>
        </w:rPr>
      </w:pPr>
      <w:r w:rsidRPr="002567EE">
        <w:rPr>
          <w:rFonts w:ascii="Arial" w:hAnsi="Arial" w:cs="Arial"/>
          <w:b/>
          <w:bCs/>
          <w:lang w:val="en-US"/>
        </w:rPr>
        <w:t>Table 1:</w:t>
      </w:r>
      <w:r>
        <w:rPr>
          <w:rFonts w:ascii="Arial" w:hAnsi="Arial" w:cs="Arial"/>
          <w:lang w:val="en-US"/>
        </w:rPr>
        <w:t xml:space="preserve"> </w:t>
      </w:r>
      <w:r w:rsidRPr="002567EE">
        <w:rPr>
          <w:rFonts w:ascii="Arial" w:hAnsi="Arial" w:cs="Arial"/>
          <w:lang w:val="en-US"/>
        </w:rPr>
        <w:t>Baseline characteristics</w:t>
      </w:r>
      <w:r w:rsidRPr="002567EE">
        <w:rPr>
          <w:rFonts w:ascii="Arial" w:hAnsi="Arial" w:cs="Arial"/>
          <w:lang w:val="en-US"/>
        </w:rPr>
        <w:tab/>
      </w:r>
      <w:r>
        <w:rPr>
          <w:rFonts w:ascii="Arial" w:hAnsi="Arial" w:cs="Arial"/>
          <w:lang w:val="en-US"/>
        </w:rPr>
        <w:t>of patients enrolled</w:t>
      </w:r>
    </w:p>
    <w:p w14:paraId="68320210" w14:textId="77777777" w:rsidR="002567EE" w:rsidRDefault="002567EE" w:rsidP="002567EE">
      <w:pPr>
        <w:pStyle w:val="Paragrafoelenco"/>
        <w:numPr>
          <w:ilvl w:val="0"/>
          <w:numId w:val="9"/>
        </w:numPr>
        <w:spacing w:line="360" w:lineRule="auto"/>
        <w:jc w:val="both"/>
        <w:rPr>
          <w:rFonts w:ascii="Arial" w:hAnsi="Arial" w:cs="Arial"/>
          <w:lang w:val="en-US"/>
        </w:rPr>
      </w:pPr>
      <w:r w:rsidRPr="002567EE">
        <w:rPr>
          <w:rFonts w:ascii="Arial" w:hAnsi="Arial" w:cs="Arial"/>
          <w:b/>
          <w:bCs/>
          <w:lang w:val="en-US"/>
        </w:rPr>
        <w:t>Table 2:</w:t>
      </w:r>
      <w:r w:rsidRPr="002567EE">
        <w:rPr>
          <w:rFonts w:ascii="Arial" w:hAnsi="Arial" w:cs="Arial"/>
          <w:lang w:val="en-US"/>
        </w:rPr>
        <w:t xml:space="preserve">  EBMT risk factors for VOD/SOS</w:t>
      </w:r>
      <w:r w:rsidRPr="002567EE">
        <w:rPr>
          <w:rFonts w:ascii="Arial" w:hAnsi="Arial" w:cs="Arial"/>
          <w:lang w:val="en-US"/>
        </w:rPr>
        <w:tab/>
      </w:r>
    </w:p>
    <w:p w14:paraId="76553C25" w14:textId="77777777" w:rsidR="002567EE" w:rsidRDefault="002567EE" w:rsidP="002567EE">
      <w:pPr>
        <w:pStyle w:val="Paragrafoelenco"/>
        <w:numPr>
          <w:ilvl w:val="0"/>
          <w:numId w:val="9"/>
        </w:numPr>
        <w:spacing w:line="360" w:lineRule="auto"/>
        <w:jc w:val="both"/>
        <w:rPr>
          <w:rFonts w:ascii="Arial" w:hAnsi="Arial" w:cs="Arial"/>
          <w:lang w:val="en-US"/>
        </w:rPr>
      </w:pPr>
      <w:r w:rsidRPr="002567EE">
        <w:rPr>
          <w:rFonts w:ascii="Arial" w:hAnsi="Arial" w:cs="Arial"/>
          <w:b/>
          <w:bCs/>
          <w:lang w:val="en-US"/>
        </w:rPr>
        <w:t>Table 3:</w:t>
      </w:r>
      <w:r w:rsidRPr="002567EE">
        <w:rPr>
          <w:rFonts w:ascii="Arial" w:hAnsi="Arial" w:cs="Arial"/>
          <w:lang w:val="en-US"/>
        </w:rPr>
        <w:t xml:space="preserve"> Characteristics of VOD/SOS patients</w:t>
      </w:r>
      <w:r w:rsidRPr="002567EE">
        <w:rPr>
          <w:rFonts w:ascii="Arial" w:hAnsi="Arial" w:cs="Arial"/>
          <w:lang w:val="en-US"/>
        </w:rPr>
        <w:tab/>
      </w:r>
    </w:p>
    <w:p w14:paraId="2F036CFE" w14:textId="77777777" w:rsidR="002567EE" w:rsidRDefault="002567EE" w:rsidP="002567EE">
      <w:pPr>
        <w:pStyle w:val="Paragrafoelenco"/>
        <w:numPr>
          <w:ilvl w:val="0"/>
          <w:numId w:val="9"/>
        </w:numPr>
        <w:spacing w:line="360" w:lineRule="auto"/>
        <w:jc w:val="both"/>
        <w:rPr>
          <w:rFonts w:ascii="Arial" w:hAnsi="Arial" w:cs="Arial"/>
          <w:lang w:val="en-US"/>
        </w:rPr>
      </w:pPr>
      <w:r w:rsidRPr="002567EE">
        <w:rPr>
          <w:rFonts w:ascii="Arial" w:hAnsi="Arial" w:cs="Arial"/>
          <w:b/>
          <w:bCs/>
          <w:lang w:val="en-US"/>
        </w:rPr>
        <w:t>Table 4:</w:t>
      </w:r>
      <w:r w:rsidRPr="002567EE">
        <w:rPr>
          <w:rFonts w:ascii="Arial" w:hAnsi="Arial" w:cs="Arial"/>
          <w:lang w:val="en-US"/>
        </w:rPr>
        <w:t xml:space="preserve">  Competing-risks Cox regression analysis of predictive factors of SOS/VOD after SCT</w:t>
      </w:r>
    </w:p>
    <w:p w14:paraId="4ED046FA" w14:textId="77777777" w:rsidR="002567EE" w:rsidRDefault="002567EE" w:rsidP="002567EE">
      <w:pPr>
        <w:pStyle w:val="Paragrafoelenco"/>
        <w:numPr>
          <w:ilvl w:val="0"/>
          <w:numId w:val="9"/>
        </w:numPr>
        <w:spacing w:line="360" w:lineRule="auto"/>
        <w:jc w:val="both"/>
        <w:rPr>
          <w:rFonts w:ascii="Arial" w:hAnsi="Arial" w:cs="Arial"/>
          <w:lang w:val="en-US"/>
        </w:rPr>
      </w:pPr>
      <w:r w:rsidRPr="002567EE">
        <w:rPr>
          <w:rFonts w:ascii="Arial" w:hAnsi="Arial" w:cs="Arial"/>
          <w:b/>
          <w:bCs/>
          <w:lang w:val="en-US"/>
        </w:rPr>
        <w:t>Table 5:</w:t>
      </w:r>
      <w:r w:rsidRPr="002567EE">
        <w:rPr>
          <w:rFonts w:ascii="Arial" w:hAnsi="Arial" w:cs="Arial"/>
          <w:lang w:val="en-US"/>
        </w:rPr>
        <w:t xml:space="preserve">   Diagnostic accuracy of LSM for SOS/VOD diagnosis post-SCT (by kPa)</w:t>
      </w:r>
    </w:p>
    <w:p w14:paraId="498D42A7" w14:textId="77777777" w:rsidR="00D70918" w:rsidRDefault="002567EE" w:rsidP="002567EE">
      <w:pPr>
        <w:pStyle w:val="Paragrafoelenco"/>
        <w:numPr>
          <w:ilvl w:val="0"/>
          <w:numId w:val="9"/>
        </w:numPr>
        <w:spacing w:line="360" w:lineRule="auto"/>
        <w:jc w:val="both"/>
        <w:rPr>
          <w:rFonts w:ascii="Arial" w:hAnsi="Arial" w:cs="Arial"/>
          <w:lang w:val="en-US"/>
        </w:rPr>
      </w:pPr>
      <w:r w:rsidRPr="002567EE">
        <w:rPr>
          <w:rFonts w:ascii="Arial" w:hAnsi="Arial" w:cs="Arial"/>
          <w:b/>
          <w:bCs/>
          <w:lang w:val="en-US"/>
        </w:rPr>
        <w:t>Table 6:</w:t>
      </w:r>
      <w:r w:rsidRPr="002567EE">
        <w:rPr>
          <w:rFonts w:ascii="Arial" w:hAnsi="Arial" w:cs="Arial"/>
          <w:lang w:val="en-US"/>
        </w:rPr>
        <w:t xml:space="preserve"> Non-SOS/VOD hepatic complications on day +100</w:t>
      </w:r>
      <w:r w:rsidRPr="002567EE">
        <w:rPr>
          <w:rFonts w:ascii="Arial" w:hAnsi="Arial" w:cs="Arial"/>
          <w:lang w:val="en-US"/>
        </w:rPr>
        <w:tab/>
      </w:r>
      <w:r w:rsidRPr="002567EE">
        <w:rPr>
          <w:rFonts w:ascii="Arial" w:hAnsi="Arial" w:cs="Arial"/>
          <w:lang w:val="en-US"/>
        </w:rPr>
        <w:tab/>
      </w:r>
      <w:r w:rsidRPr="002567EE">
        <w:rPr>
          <w:rFonts w:ascii="Arial" w:hAnsi="Arial" w:cs="Arial"/>
          <w:lang w:val="en-US"/>
        </w:rPr>
        <w:tab/>
      </w:r>
      <w:r w:rsidRPr="002567EE">
        <w:rPr>
          <w:rFonts w:ascii="Arial" w:hAnsi="Arial" w:cs="Arial"/>
          <w:lang w:val="en-US"/>
        </w:rPr>
        <w:tab/>
      </w:r>
      <w:r w:rsidRPr="002567EE">
        <w:rPr>
          <w:rFonts w:ascii="Arial" w:hAnsi="Arial" w:cs="Arial"/>
          <w:lang w:val="en-US"/>
        </w:rPr>
        <w:tab/>
      </w:r>
      <w:r w:rsidRPr="002567EE">
        <w:rPr>
          <w:rFonts w:ascii="Arial" w:hAnsi="Arial" w:cs="Arial"/>
          <w:lang w:val="en-US"/>
        </w:rPr>
        <w:tab/>
      </w:r>
      <w:r w:rsidRPr="002567EE">
        <w:rPr>
          <w:rFonts w:ascii="Arial" w:hAnsi="Arial" w:cs="Arial"/>
          <w:lang w:val="en-US"/>
        </w:rPr>
        <w:tab/>
      </w:r>
      <w:r w:rsidRPr="002567EE">
        <w:rPr>
          <w:rFonts w:ascii="Arial" w:hAnsi="Arial" w:cs="Arial"/>
          <w:lang w:val="en-US"/>
        </w:rPr>
        <w:tab/>
      </w:r>
      <w:r w:rsidRPr="002567EE">
        <w:rPr>
          <w:rFonts w:ascii="Arial" w:hAnsi="Arial" w:cs="Arial"/>
          <w:lang w:val="en-US"/>
        </w:rPr>
        <w:tab/>
      </w:r>
      <w:r w:rsidRPr="002567EE">
        <w:rPr>
          <w:rFonts w:ascii="Arial" w:hAnsi="Arial" w:cs="Arial"/>
          <w:lang w:val="en-US"/>
        </w:rPr>
        <w:tab/>
      </w:r>
      <w:r w:rsidRPr="002567EE">
        <w:rPr>
          <w:rFonts w:ascii="Arial" w:hAnsi="Arial" w:cs="Arial"/>
          <w:lang w:val="en-US"/>
        </w:rPr>
        <w:tab/>
      </w:r>
      <w:r w:rsidRPr="002567EE">
        <w:rPr>
          <w:rFonts w:ascii="Arial" w:hAnsi="Arial" w:cs="Arial"/>
          <w:lang w:val="en-US"/>
        </w:rPr>
        <w:tab/>
      </w:r>
      <w:r w:rsidRPr="002567EE">
        <w:rPr>
          <w:rFonts w:ascii="Arial" w:hAnsi="Arial" w:cs="Arial"/>
          <w:lang w:val="en-US"/>
        </w:rPr>
        <w:tab/>
      </w:r>
      <w:r w:rsidRPr="002567EE">
        <w:rPr>
          <w:rFonts w:ascii="Arial" w:hAnsi="Arial" w:cs="Arial"/>
          <w:lang w:val="en-US"/>
        </w:rPr>
        <w:tab/>
      </w:r>
      <w:r w:rsidRPr="002567EE">
        <w:rPr>
          <w:rFonts w:ascii="Arial" w:hAnsi="Arial" w:cs="Arial"/>
          <w:lang w:val="en-US"/>
        </w:rPr>
        <w:tab/>
      </w:r>
      <w:r w:rsidRPr="002567EE">
        <w:rPr>
          <w:rFonts w:ascii="Arial" w:hAnsi="Arial" w:cs="Arial"/>
          <w:lang w:val="en-US"/>
        </w:rPr>
        <w:tab/>
      </w:r>
    </w:p>
    <w:p w14:paraId="6F1886D5" w14:textId="77777777" w:rsidR="00D70918" w:rsidRDefault="00D70918" w:rsidP="00D70918">
      <w:pPr>
        <w:spacing w:line="360" w:lineRule="auto"/>
        <w:jc w:val="both"/>
        <w:rPr>
          <w:rFonts w:ascii="Arial" w:hAnsi="Arial" w:cs="Arial"/>
          <w:lang w:val="en-US"/>
        </w:rPr>
      </w:pPr>
    </w:p>
    <w:p w14:paraId="71BCDAF2" w14:textId="77777777" w:rsidR="00D70918" w:rsidRDefault="00D70918" w:rsidP="00D70918">
      <w:pPr>
        <w:spacing w:line="360" w:lineRule="auto"/>
        <w:jc w:val="both"/>
        <w:rPr>
          <w:rFonts w:ascii="Arial" w:hAnsi="Arial" w:cs="Arial"/>
          <w:lang w:val="en-US"/>
        </w:rPr>
      </w:pPr>
    </w:p>
    <w:p w14:paraId="2B315B44" w14:textId="77777777" w:rsidR="00D70918" w:rsidRDefault="00D70918" w:rsidP="00D70918">
      <w:pPr>
        <w:spacing w:line="360" w:lineRule="auto"/>
        <w:jc w:val="both"/>
        <w:rPr>
          <w:rFonts w:ascii="Arial" w:hAnsi="Arial" w:cs="Arial"/>
          <w:lang w:val="en-US"/>
        </w:rPr>
      </w:pPr>
    </w:p>
    <w:p w14:paraId="1B9E4A2C" w14:textId="77777777" w:rsidR="00D70918" w:rsidRDefault="00D70918" w:rsidP="00D70918">
      <w:pPr>
        <w:spacing w:line="360" w:lineRule="auto"/>
        <w:jc w:val="both"/>
        <w:rPr>
          <w:rFonts w:ascii="Arial" w:hAnsi="Arial" w:cs="Arial"/>
          <w:lang w:val="en-US"/>
        </w:rPr>
      </w:pPr>
    </w:p>
    <w:p w14:paraId="12C1FBCC" w14:textId="77777777" w:rsidR="00D70918" w:rsidRDefault="00D70918" w:rsidP="00D70918">
      <w:pPr>
        <w:spacing w:line="360" w:lineRule="auto"/>
        <w:jc w:val="both"/>
        <w:rPr>
          <w:rFonts w:ascii="Arial" w:hAnsi="Arial" w:cs="Arial"/>
          <w:lang w:val="en-US"/>
        </w:rPr>
      </w:pPr>
    </w:p>
    <w:p w14:paraId="1D545D8B" w14:textId="77777777" w:rsidR="00D70918" w:rsidRDefault="00D70918" w:rsidP="00D70918">
      <w:pPr>
        <w:spacing w:line="360" w:lineRule="auto"/>
        <w:jc w:val="both"/>
        <w:rPr>
          <w:rFonts w:ascii="Arial" w:hAnsi="Arial" w:cs="Arial"/>
          <w:lang w:val="en-US"/>
        </w:rPr>
      </w:pPr>
    </w:p>
    <w:p w14:paraId="25DCF446" w14:textId="36E57F60" w:rsidR="002567EE" w:rsidRPr="00D70918" w:rsidRDefault="002567EE" w:rsidP="00D70918">
      <w:pPr>
        <w:spacing w:line="360" w:lineRule="auto"/>
        <w:jc w:val="both"/>
        <w:rPr>
          <w:rFonts w:ascii="Arial" w:hAnsi="Arial" w:cs="Arial"/>
          <w:lang w:val="en-US"/>
        </w:rPr>
      </w:pPr>
      <w:r w:rsidRPr="00D70918">
        <w:rPr>
          <w:rFonts w:ascii="Arial" w:hAnsi="Arial" w:cs="Arial"/>
          <w:lang w:val="en-US"/>
        </w:rPr>
        <w:tab/>
      </w:r>
      <w:r w:rsidRPr="00D70918">
        <w:rPr>
          <w:rFonts w:ascii="Arial" w:hAnsi="Arial" w:cs="Arial"/>
          <w:lang w:val="en-US"/>
        </w:rPr>
        <w:tab/>
      </w:r>
      <w:r w:rsidRPr="00D70918">
        <w:rPr>
          <w:rFonts w:ascii="Arial" w:hAnsi="Arial" w:cs="Arial"/>
          <w:lang w:val="en-US"/>
        </w:rPr>
        <w:tab/>
      </w:r>
      <w:r w:rsidRPr="00D70918">
        <w:rPr>
          <w:rFonts w:ascii="Arial" w:hAnsi="Arial" w:cs="Arial"/>
          <w:lang w:val="en-US"/>
        </w:rPr>
        <w:tab/>
      </w:r>
      <w:r w:rsidRPr="00D70918">
        <w:rPr>
          <w:rFonts w:ascii="Arial" w:hAnsi="Arial" w:cs="Arial"/>
          <w:lang w:val="en-US"/>
        </w:rPr>
        <w:tab/>
      </w:r>
      <w:r w:rsidRPr="00D70918">
        <w:rPr>
          <w:rFonts w:ascii="Arial" w:hAnsi="Arial" w:cs="Arial"/>
          <w:lang w:val="en-US"/>
        </w:rPr>
        <w:tab/>
      </w:r>
      <w:r w:rsidRPr="00D70918">
        <w:rPr>
          <w:rFonts w:ascii="Arial" w:hAnsi="Arial" w:cs="Arial"/>
          <w:lang w:val="en-US"/>
        </w:rPr>
        <w:tab/>
      </w:r>
      <w:r w:rsidRPr="00D70918">
        <w:rPr>
          <w:rFonts w:ascii="Arial" w:hAnsi="Arial" w:cs="Arial"/>
          <w:lang w:val="en-US"/>
        </w:rPr>
        <w:tab/>
      </w:r>
    </w:p>
    <w:p w14:paraId="4E51C4A1" w14:textId="77777777" w:rsidR="000B678F" w:rsidRPr="00BA3910" w:rsidRDefault="000B678F" w:rsidP="00407767">
      <w:pPr>
        <w:spacing w:line="360" w:lineRule="auto"/>
        <w:jc w:val="both"/>
        <w:rPr>
          <w:rFonts w:ascii="Arial" w:hAnsi="Arial" w:cs="Arial"/>
          <w:lang w:val="en-GB"/>
        </w:rPr>
      </w:pPr>
    </w:p>
    <w:p w14:paraId="5CF8461F" w14:textId="77777777" w:rsidR="00605850" w:rsidRPr="00BA3910" w:rsidRDefault="00605850" w:rsidP="00407767">
      <w:pPr>
        <w:spacing w:line="360" w:lineRule="auto"/>
        <w:jc w:val="both"/>
        <w:rPr>
          <w:rFonts w:ascii="Arial" w:hAnsi="Arial" w:cs="Arial"/>
          <w:lang w:val="en-GB"/>
        </w:rPr>
      </w:pPr>
    </w:p>
    <w:p w14:paraId="72DBD95C" w14:textId="77777777" w:rsidR="00263296" w:rsidRPr="00BA3910" w:rsidRDefault="00775704" w:rsidP="00407767">
      <w:pPr>
        <w:spacing w:line="360" w:lineRule="auto"/>
        <w:jc w:val="both"/>
        <w:rPr>
          <w:rFonts w:ascii="Arial" w:hAnsi="Arial" w:cs="Arial"/>
          <w:b/>
          <w:bCs/>
          <w:sz w:val="28"/>
          <w:szCs w:val="28"/>
          <w:lang w:val="en-GB"/>
        </w:rPr>
      </w:pPr>
      <w:r w:rsidRPr="00BA3910">
        <w:rPr>
          <w:rFonts w:ascii="Arial" w:hAnsi="Arial" w:cs="Arial"/>
          <w:b/>
          <w:bCs/>
          <w:sz w:val="28"/>
          <w:szCs w:val="28"/>
          <w:lang w:val="en-GB"/>
        </w:rPr>
        <w:t>References</w:t>
      </w:r>
    </w:p>
    <w:p w14:paraId="055900DD" w14:textId="77777777" w:rsidR="001474FD" w:rsidRPr="001474FD" w:rsidRDefault="006F467C" w:rsidP="001474FD">
      <w:pPr>
        <w:widowControl w:val="0"/>
        <w:autoSpaceDE w:val="0"/>
        <w:autoSpaceDN w:val="0"/>
        <w:adjustRightInd w:val="0"/>
        <w:rPr>
          <w:rFonts w:ascii="Arial" w:hAnsi="Arial" w:cs="Arial"/>
          <w:sz w:val="20"/>
          <w:lang w:val="en-US"/>
        </w:rPr>
      </w:pPr>
      <w:r w:rsidRPr="006F467C">
        <w:rPr>
          <w:b/>
          <w:bCs/>
          <w:sz w:val="20"/>
          <w:szCs w:val="20"/>
        </w:rPr>
        <w:fldChar w:fldCharType="begin"/>
      </w:r>
      <w:r w:rsidRPr="00605850">
        <w:rPr>
          <w:sz w:val="20"/>
          <w:szCs w:val="20"/>
          <w:lang w:val="en-US"/>
        </w:rPr>
        <w:instrText xml:space="preserve"> ADDIN ZOTERO_BIBL {"uncited":[],"omitted":[],"custom":[]} CSL_BIBLIOGRAPHY </w:instrText>
      </w:r>
      <w:r w:rsidRPr="006F467C">
        <w:rPr>
          <w:b/>
          <w:bCs/>
          <w:sz w:val="20"/>
          <w:szCs w:val="20"/>
        </w:rPr>
        <w:fldChar w:fldCharType="separate"/>
      </w:r>
      <w:r w:rsidR="001474FD" w:rsidRPr="001474FD">
        <w:rPr>
          <w:rFonts w:ascii="Arial" w:hAnsi="Arial" w:cs="Arial"/>
          <w:sz w:val="20"/>
          <w:lang w:val="en-US"/>
        </w:rPr>
        <w:t>1</w:t>
      </w:r>
      <w:r w:rsidR="001474FD" w:rsidRPr="001474FD">
        <w:rPr>
          <w:rFonts w:ascii="Arial" w:hAnsi="Arial" w:cs="Arial"/>
          <w:sz w:val="20"/>
          <w:lang w:val="en-US"/>
        </w:rPr>
        <w:tab/>
        <w:t xml:space="preserve">Valla DC, Cazals-Hatem D. Sinusoidal obstruction syndrome. Clinics and Research in Hepatology and Gastroenterology. 2016; </w:t>
      </w:r>
      <w:r w:rsidR="001474FD" w:rsidRPr="001474FD">
        <w:rPr>
          <w:rFonts w:ascii="Arial" w:hAnsi="Arial" w:cs="Arial"/>
          <w:b/>
          <w:bCs/>
          <w:sz w:val="20"/>
          <w:lang w:val="en-US"/>
        </w:rPr>
        <w:t>40</w:t>
      </w:r>
      <w:r w:rsidR="001474FD" w:rsidRPr="001474FD">
        <w:rPr>
          <w:rFonts w:ascii="Arial" w:hAnsi="Arial" w:cs="Arial"/>
          <w:sz w:val="20"/>
          <w:lang w:val="en-US"/>
        </w:rPr>
        <w:t>: 378–85.</w:t>
      </w:r>
    </w:p>
    <w:p w14:paraId="4282DDC0" w14:textId="77777777" w:rsidR="001474FD" w:rsidRPr="001474FD" w:rsidRDefault="001474FD" w:rsidP="001474FD">
      <w:pPr>
        <w:widowControl w:val="0"/>
        <w:autoSpaceDE w:val="0"/>
        <w:autoSpaceDN w:val="0"/>
        <w:adjustRightInd w:val="0"/>
        <w:rPr>
          <w:rFonts w:ascii="Arial" w:hAnsi="Arial" w:cs="Arial"/>
          <w:sz w:val="20"/>
          <w:lang w:val="en-US"/>
        </w:rPr>
      </w:pPr>
      <w:r w:rsidRPr="001474FD">
        <w:rPr>
          <w:rFonts w:ascii="Arial" w:hAnsi="Arial" w:cs="Arial"/>
          <w:sz w:val="20"/>
          <w:lang w:val="en-US"/>
        </w:rPr>
        <w:t>2</w:t>
      </w:r>
      <w:r w:rsidRPr="001474FD">
        <w:rPr>
          <w:rFonts w:ascii="Arial" w:hAnsi="Arial" w:cs="Arial"/>
          <w:sz w:val="20"/>
          <w:lang w:val="en-US"/>
        </w:rPr>
        <w:tab/>
        <w:t xml:space="preserve">Mohty M, Malard F, Alaskar AS, </w:t>
      </w:r>
      <w:r w:rsidRPr="001474FD">
        <w:rPr>
          <w:rFonts w:ascii="Arial" w:hAnsi="Arial" w:cs="Arial"/>
          <w:i/>
          <w:iCs/>
          <w:sz w:val="20"/>
          <w:lang w:val="en-US"/>
        </w:rPr>
        <w:t>et al.</w:t>
      </w:r>
      <w:r w:rsidRPr="001474FD">
        <w:rPr>
          <w:rFonts w:ascii="Arial" w:hAnsi="Arial" w:cs="Arial"/>
          <w:sz w:val="20"/>
          <w:lang w:val="en-US"/>
        </w:rPr>
        <w:t xml:space="preserve"> Diagnosis and severity criteria for sinusoidal obstruction syndrome/veno-occlusive disease in adult patients: a refined classification from the European society for blood and marrow transplantation (EBMT). </w:t>
      </w:r>
      <w:r w:rsidRPr="001474FD">
        <w:rPr>
          <w:rFonts w:ascii="Arial" w:hAnsi="Arial" w:cs="Arial"/>
          <w:i/>
          <w:iCs/>
          <w:sz w:val="20"/>
          <w:lang w:val="en-US"/>
        </w:rPr>
        <w:t>Bone Marrow Transplant</w:t>
      </w:r>
      <w:r w:rsidRPr="001474FD">
        <w:rPr>
          <w:rFonts w:ascii="Arial" w:hAnsi="Arial" w:cs="Arial"/>
          <w:sz w:val="20"/>
          <w:lang w:val="en-US"/>
        </w:rPr>
        <w:t xml:space="preserve"> 2023; </w:t>
      </w:r>
      <w:r w:rsidRPr="001474FD">
        <w:rPr>
          <w:rFonts w:ascii="Arial" w:hAnsi="Arial" w:cs="Arial"/>
          <w:b/>
          <w:bCs/>
          <w:sz w:val="20"/>
          <w:lang w:val="en-US"/>
        </w:rPr>
        <w:t>58</w:t>
      </w:r>
      <w:r w:rsidRPr="001474FD">
        <w:rPr>
          <w:rFonts w:ascii="Arial" w:hAnsi="Arial" w:cs="Arial"/>
          <w:sz w:val="20"/>
          <w:lang w:val="en-US"/>
        </w:rPr>
        <w:t>: 749–54.</w:t>
      </w:r>
    </w:p>
    <w:p w14:paraId="3181E2D2" w14:textId="77777777" w:rsidR="001474FD" w:rsidRPr="001474FD" w:rsidRDefault="001474FD" w:rsidP="001474FD">
      <w:pPr>
        <w:widowControl w:val="0"/>
        <w:autoSpaceDE w:val="0"/>
        <w:autoSpaceDN w:val="0"/>
        <w:adjustRightInd w:val="0"/>
        <w:rPr>
          <w:rFonts w:ascii="Arial" w:hAnsi="Arial" w:cs="Arial"/>
          <w:sz w:val="20"/>
          <w:lang w:val="en-US"/>
        </w:rPr>
      </w:pPr>
      <w:r w:rsidRPr="001474FD">
        <w:rPr>
          <w:rFonts w:ascii="Arial" w:hAnsi="Arial" w:cs="Arial"/>
          <w:sz w:val="20"/>
          <w:lang w:val="en-US"/>
        </w:rPr>
        <w:t>3</w:t>
      </w:r>
      <w:r w:rsidRPr="001474FD">
        <w:rPr>
          <w:rFonts w:ascii="Arial" w:hAnsi="Arial" w:cs="Arial"/>
          <w:sz w:val="20"/>
          <w:lang w:val="en-US"/>
        </w:rPr>
        <w:tab/>
        <w:t xml:space="preserve">Mohty M, Malard F, Abecasis M, </w:t>
      </w:r>
      <w:r w:rsidRPr="001474FD">
        <w:rPr>
          <w:rFonts w:ascii="Arial" w:hAnsi="Arial" w:cs="Arial"/>
          <w:i/>
          <w:iCs/>
          <w:sz w:val="20"/>
          <w:lang w:val="en-US"/>
        </w:rPr>
        <w:t>et al.</w:t>
      </w:r>
      <w:r w:rsidRPr="001474FD">
        <w:rPr>
          <w:rFonts w:ascii="Arial" w:hAnsi="Arial" w:cs="Arial"/>
          <w:sz w:val="20"/>
          <w:lang w:val="en-US"/>
        </w:rPr>
        <w:t xml:space="preserve"> Prophylactic, preemptive, and curative treatment for sinusoidal obstruction syndrome/veno-occlusive disease in adult patients: a position statement from an international expert group. </w:t>
      </w:r>
      <w:r w:rsidRPr="001474FD">
        <w:rPr>
          <w:rFonts w:ascii="Arial" w:hAnsi="Arial" w:cs="Arial"/>
          <w:i/>
          <w:iCs/>
          <w:sz w:val="20"/>
          <w:lang w:val="en-US"/>
        </w:rPr>
        <w:t>Bone Marrow Transplant</w:t>
      </w:r>
      <w:r w:rsidRPr="001474FD">
        <w:rPr>
          <w:rFonts w:ascii="Arial" w:hAnsi="Arial" w:cs="Arial"/>
          <w:sz w:val="20"/>
          <w:lang w:val="en-US"/>
        </w:rPr>
        <w:t xml:space="preserve"> 2020; </w:t>
      </w:r>
      <w:r w:rsidRPr="001474FD">
        <w:rPr>
          <w:rFonts w:ascii="Arial" w:hAnsi="Arial" w:cs="Arial"/>
          <w:b/>
          <w:bCs/>
          <w:sz w:val="20"/>
          <w:lang w:val="en-US"/>
        </w:rPr>
        <w:t>55</w:t>
      </w:r>
      <w:r w:rsidRPr="001474FD">
        <w:rPr>
          <w:rFonts w:ascii="Arial" w:hAnsi="Arial" w:cs="Arial"/>
          <w:sz w:val="20"/>
          <w:lang w:val="en-US"/>
        </w:rPr>
        <w:t>: 485–95.</w:t>
      </w:r>
    </w:p>
    <w:p w14:paraId="5EE7647C" w14:textId="77777777" w:rsidR="001474FD" w:rsidRPr="001474FD" w:rsidRDefault="001474FD" w:rsidP="001474FD">
      <w:pPr>
        <w:widowControl w:val="0"/>
        <w:autoSpaceDE w:val="0"/>
        <w:autoSpaceDN w:val="0"/>
        <w:adjustRightInd w:val="0"/>
        <w:rPr>
          <w:rFonts w:ascii="Arial" w:hAnsi="Arial" w:cs="Arial"/>
          <w:sz w:val="20"/>
          <w:lang w:val="en-US"/>
        </w:rPr>
      </w:pPr>
      <w:r w:rsidRPr="001474FD">
        <w:rPr>
          <w:rFonts w:ascii="Arial" w:hAnsi="Arial" w:cs="Arial"/>
          <w:sz w:val="20"/>
          <w:lang w:val="en-US"/>
        </w:rPr>
        <w:t>4</w:t>
      </w:r>
      <w:r w:rsidRPr="001474FD">
        <w:rPr>
          <w:rFonts w:ascii="Arial" w:hAnsi="Arial" w:cs="Arial"/>
          <w:sz w:val="20"/>
          <w:lang w:val="en-US"/>
        </w:rPr>
        <w:tab/>
        <w:t xml:space="preserve">Coppell JA, Richardson PG, Soiffer R, </w:t>
      </w:r>
      <w:r w:rsidRPr="001474FD">
        <w:rPr>
          <w:rFonts w:ascii="Arial" w:hAnsi="Arial" w:cs="Arial"/>
          <w:i/>
          <w:iCs/>
          <w:sz w:val="20"/>
          <w:lang w:val="en-US"/>
        </w:rPr>
        <w:t>et al.</w:t>
      </w:r>
      <w:r w:rsidRPr="001474FD">
        <w:rPr>
          <w:rFonts w:ascii="Arial" w:hAnsi="Arial" w:cs="Arial"/>
          <w:sz w:val="20"/>
          <w:lang w:val="en-US"/>
        </w:rPr>
        <w:t xml:space="preserve"> Hepatic Veno-Occlusive Disease following Stem Cell Transplantation: Incidence, Clinical Course, and Outcome. Biology of Blood and Marrow Transplantation. 2010; </w:t>
      </w:r>
      <w:r w:rsidRPr="001474FD">
        <w:rPr>
          <w:rFonts w:ascii="Arial" w:hAnsi="Arial" w:cs="Arial"/>
          <w:b/>
          <w:bCs/>
          <w:sz w:val="20"/>
          <w:lang w:val="en-US"/>
        </w:rPr>
        <w:t>16</w:t>
      </w:r>
      <w:r w:rsidRPr="001474FD">
        <w:rPr>
          <w:rFonts w:ascii="Arial" w:hAnsi="Arial" w:cs="Arial"/>
          <w:sz w:val="20"/>
          <w:lang w:val="en-US"/>
        </w:rPr>
        <w:t>: 157–68.</w:t>
      </w:r>
    </w:p>
    <w:p w14:paraId="6E06CCD9" w14:textId="77777777" w:rsidR="001474FD" w:rsidRPr="001474FD" w:rsidRDefault="001474FD" w:rsidP="001474FD">
      <w:pPr>
        <w:widowControl w:val="0"/>
        <w:autoSpaceDE w:val="0"/>
        <w:autoSpaceDN w:val="0"/>
        <w:adjustRightInd w:val="0"/>
        <w:rPr>
          <w:rFonts w:ascii="Arial" w:hAnsi="Arial" w:cs="Arial"/>
          <w:sz w:val="20"/>
          <w:lang w:val="en-US"/>
        </w:rPr>
      </w:pPr>
      <w:r w:rsidRPr="001474FD">
        <w:rPr>
          <w:rFonts w:ascii="Arial" w:hAnsi="Arial" w:cs="Arial"/>
          <w:sz w:val="20"/>
          <w:lang w:val="en-US"/>
        </w:rPr>
        <w:t>5</w:t>
      </w:r>
      <w:r w:rsidRPr="001474FD">
        <w:rPr>
          <w:rFonts w:ascii="Arial" w:hAnsi="Arial" w:cs="Arial"/>
          <w:sz w:val="20"/>
          <w:lang w:val="en-US"/>
        </w:rPr>
        <w:tab/>
        <w:t xml:space="preserve">Corbacioglu S, Carreras E, Ansari M, </w:t>
      </w:r>
      <w:r w:rsidRPr="001474FD">
        <w:rPr>
          <w:rFonts w:ascii="Arial" w:hAnsi="Arial" w:cs="Arial"/>
          <w:i/>
          <w:iCs/>
          <w:sz w:val="20"/>
          <w:lang w:val="en-US"/>
        </w:rPr>
        <w:t>et al.</w:t>
      </w:r>
      <w:r w:rsidRPr="001474FD">
        <w:rPr>
          <w:rFonts w:ascii="Arial" w:hAnsi="Arial" w:cs="Arial"/>
          <w:sz w:val="20"/>
          <w:lang w:val="en-US"/>
        </w:rPr>
        <w:t xml:space="preserve"> Diagnosis and severity criteria for sinusoidal obstruction syndrome/veno-occlusive disease in pediatric patients: A new classification from the European society for blood and marrow transplantation. </w:t>
      </w:r>
      <w:r w:rsidRPr="001474FD">
        <w:rPr>
          <w:rFonts w:ascii="Arial" w:hAnsi="Arial" w:cs="Arial"/>
          <w:i/>
          <w:iCs/>
          <w:sz w:val="20"/>
          <w:lang w:val="en-US"/>
        </w:rPr>
        <w:t>Bone Marrow Transplantation</w:t>
      </w:r>
      <w:r w:rsidRPr="001474FD">
        <w:rPr>
          <w:rFonts w:ascii="Arial" w:hAnsi="Arial" w:cs="Arial"/>
          <w:sz w:val="20"/>
          <w:lang w:val="en-US"/>
        </w:rPr>
        <w:t xml:space="preserve"> 2018; </w:t>
      </w:r>
      <w:r w:rsidRPr="001474FD">
        <w:rPr>
          <w:rFonts w:ascii="Arial" w:hAnsi="Arial" w:cs="Arial"/>
          <w:b/>
          <w:bCs/>
          <w:sz w:val="20"/>
          <w:lang w:val="en-US"/>
        </w:rPr>
        <w:t>53</w:t>
      </w:r>
      <w:r w:rsidRPr="001474FD">
        <w:rPr>
          <w:rFonts w:ascii="Arial" w:hAnsi="Arial" w:cs="Arial"/>
          <w:sz w:val="20"/>
          <w:lang w:val="en-US"/>
        </w:rPr>
        <w:t>: 138–45.</w:t>
      </w:r>
    </w:p>
    <w:p w14:paraId="15ED9EF0" w14:textId="77777777" w:rsidR="001474FD" w:rsidRPr="001474FD" w:rsidRDefault="001474FD" w:rsidP="001474FD">
      <w:pPr>
        <w:widowControl w:val="0"/>
        <w:autoSpaceDE w:val="0"/>
        <w:autoSpaceDN w:val="0"/>
        <w:adjustRightInd w:val="0"/>
        <w:rPr>
          <w:rFonts w:ascii="Arial" w:hAnsi="Arial" w:cs="Arial"/>
          <w:sz w:val="20"/>
          <w:lang w:val="en-US"/>
        </w:rPr>
      </w:pPr>
      <w:r w:rsidRPr="001474FD">
        <w:rPr>
          <w:rFonts w:ascii="Arial" w:hAnsi="Arial" w:cs="Arial"/>
          <w:sz w:val="20"/>
          <w:lang w:val="en-US"/>
        </w:rPr>
        <w:t>6</w:t>
      </w:r>
      <w:r w:rsidRPr="001474FD">
        <w:rPr>
          <w:rFonts w:ascii="Arial" w:hAnsi="Arial" w:cs="Arial"/>
          <w:sz w:val="20"/>
          <w:lang w:val="en-US"/>
        </w:rPr>
        <w:tab/>
        <w:t xml:space="preserve">Kernan NA, Grupp S, Smith AR, </w:t>
      </w:r>
      <w:r w:rsidRPr="001474FD">
        <w:rPr>
          <w:rFonts w:ascii="Arial" w:hAnsi="Arial" w:cs="Arial"/>
          <w:i/>
          <w:iCs/>
          <w:sz w:val="20"/>
          <w:lang w:val="en-US"/>
        </w:rPr>
        <w:t>et al.</w:t>
      </w:r>
      <w:r w:rsidRPr="001474FD">
        <w:rPr>
          <w:rFonts w:ascii="Arial" w:hAnsi="Arial" w:cs="Arial"/>
          <w:sz w:val="20"/>
          <w:lang w:val="en-US"/>
        </w:rPr>
        <w:t xml:space="preserve"> Final results from a defibrotide treatment-IND study for patients with hepatic veno-occlusive disease/sinusoidal obstruction syndrome. </w:t>
      </w:r>
      <w:r w:rsidRPr="001474FD">
        <w:rPr>
          <w:rFonts w:ascii="Arial" w:hAnsi="Arial" w:cs="Arial"/>
          <w:i/>
          <w:iCs/>
          <w:sz w:val="20"/>
          <w:lang w:val="en-US"/>
        </w:rPr>
        <w:t>British Journal of Haematology</w:t>
      </w:r>
      <w:r w:rsidRPr="001474FD">
        <w:rPr>
          <w:rFonts w:ascii="Arial" w:hAnsi="Arial" w:cs="Arial"/>
          <w:sz w:val="20"/>
          <w:lang w:val="en-US"/>
        </w:rPr>
        <w:t xml:space="preserve"> 2018; </w:t>
      </w:r>
      <w:r w:rsidRPr="001474FD">
        <w:rPr>
          <w:rFonts w:ascii="Arial" w:hAnsi="Arial" w:cs="Arial"/>
          <w:b/>
          <w:bCs/>
          <w:sz w:val="20"/>
          <w:lang w:val="en-US"/>
        </w:rPr>
        <w:t>181</w:t>
      </w:r>
      <w:r w:rsidRPr="001474FD">
        <w:rPr>
          <w:rFonts w:ascii="Arial" w:hAnsi="Arial" w:cs="Arial"/>
          <w:sz w:val="20"/>
          <w:lang w:val="en-US"/>
        </w:rPr>
        <w:t>: 816–27.</w:t>
      </w:r>
    </w:p>
    <w:p w14:paraId="57F72BA3" w14:textId="77777777" w:rsidR="001474FD" w:rsidRPr="001474FD" w:rsidRDefault="001474FD" w:rsidP="001474FD">
      <w:pPr>
        <w:widowControl w:val="0"/>
        <w:autoSpaceDE w:val="0"/>
        <w:autoSpaceDN w:val="0"/>
        <w:adjustRightInd w:val="0"/>
        <w:rPr>
          <w:rFonts w:ascii="Arial" w:hAnsi="Arial" w:cs="Arial"/>
          <w:sz w:val="20"/>
          <w:lang w:val="en-US"/>
        </w:rPr>
      </w:pPr>
      <w:r w:rsidRPr="001474FD">
        <w:rPr>
          <w:rFonts w:ascii="Arial" w:hAnsi="Arial" w:cs="Arial"/>
          <w:sz w:val="20"/>
          <w:lang w:val="en-US"/>
        </w:rPr>
        <w:t>7</w:t>
      </w:r>
      <w:r w:rsidRPr="001474FD">
        <w:rPr>
          <w:rFonts w:ascii="Arial" w:hAnsi="Arial" w:cs="Arial"/>
          <w:sz w:val="20"/>
          <w:lang w:val="en-US"/>
        </w:rPr>
        <w:tab/>
        <w:t xml:space="preserve">Cairo MS, Cooke KR, Lazarus HM, Chao N. Modified diagnostic criteria, grading classification and newly elucidated pathophysiology of hepatic SOS/VOD after haematopoietic cell transplantation. British Journal of Haematology. 2020; </w:t>
      </w:r>
      <w:r w:rsidRPr="001474FD">
        <w:rPr>
          <w:rFonts w:ascii="Arial" w:hAnsi="Arial" w:cs="Arial"/>
          <w:b/>
          <w:bCs/>
          <w:sz w:val="20"/>
          <w:lang w:val="en-US"/>
        </w:rPr>
        <w:t>190</w:t>
      </w:r>
      <w:r w:rsidRPr="001474FD">
        <w:rPr>
          <w:rFonts w:ascii="Arial" w:hAnsi="Arial" w:cs="Arial"/>
          <w:sz w:val="20"/>
          <w:lang w:val="en-US"/>
        </w:rPr>
        <w:t>: 822–36.</w:t>
      </w:r>
    </w:p>
    <w:p w14:paraId="4051ECDF" w14:textId="77777777" w:rsidR="001474FD" w:rsidRPr="001474FD" w:rsidRDefault="001474FD" w:rsidP="001474FD">
      <w:pPr>
        <w:widowControl w:val="0"/>
        <w:autoSpaceDE w:val="0"/>
        <w:autoSpaceDN w:val="0"/>
        <w:adjustRightInd w:val="0"/>
        <w:rPr>
          <w:rFonts w:ascii="Arial" w:hAnsi="Arial" w:cs="Arial"/>
          <w:sz w:val="20"/>
          <w:lang w:val="en-US"/>
        </w:rPr>
      </w:pPr>
      <w:r w:rsidRPr="001474FD">
        <w:rPr>
          <w:rFonts w:ascii="Arial" w:hAnsi="Arial" w:cs="Arial"/>
          <w:sz w:val="20"/>
          <w:lang w:val="en-US"/>
        </w:rPr>
        <w:t>8</w:t>
      </w:r>
      <w:r w:rsidRPr="001474FD">
        <w:rPr>
          <w:rFonts w:ascii="Arial" w:hAnsi="Arial" w:cs="Arial"/>
          <w:sz w:val="20"/>
          <w:lang w:val="en-US"/>
        </w:rPr>
        <w:tab/>
        <w:t xml:space="preserve">Mohty M, Malard F, Abecassis M, </w:t>
      </w:r>
      <w:r w:rsidRPr="001474FD">
        <w:rPr>
          <w:rFonts w:ascii="Arial" w:hAnsi="Arial" w:cs="Arial"/>
          <w:i/>
          <w:iCs/>
          <w:sz w:val="20"/>
          <w:lang w:val="en-US"/>
        </w:rPr>
        <w:t>et al.</w:t>
      </w:r>
      <w:r w:rsidRPr="001474FD">
        <w:rPr>
          <w:rFonts w:ascii="Arial" w:hAnsi="Arial" w:cs="Arial"/>
          <w:sz w:val="20"/>
          <w:lang w:val="en-US"/>
        </w:rPr>
        <w:t xml:space="preserve"> Revised diagnosis and severity criteria for sinusoidal obstruction syndrome/veno-occlusive disease in adult patients: A new classification from the European Society for Blood and Marrow Transplantation. </w:t>
      </w:r>
      <w:r w:rsidRPr="001474FD">
        <w:rPr>
          <w:rFonts w:ascii="Arial" w:hAnsi="Arial" w:cs="Arial"/>
          <w:i/>
          <w:iCs/>
          <w:sz w:val="20"/>
          <w:lang w:val="en-US"/>
        </w:rPr>
        <w:t>Bone Marrow Transplantation</w:t>
      </w:r>
      <w:r w:rsidRPr="001474FD">
        <w:rPr>
          <w:rFonts w:ascii="Arial" w:hAnsi="Arial" w:cs="Arial"/>
          <w:sz w:val="20"/>
          <w:lang w:val="en-US"/>
        </w:rPr>
        <w:t xml:space="preserve"> 2016; </w:t>
      </w:r>
      <w:r w:rsidRPr="001474FD">
        <w:rPr>
          <w:rFonts w:ascii="Arial" w:hAnsi="Arial" w:cs="Arial"/>
          <w:b/>
          <w:bCs/>
          <w:sz w:val="20"/>
          <w:lang w:val="en-US"/>
        </w:rPr>
        <w:t>51</w:t>
      </w:r>
      <w:r w:rsidRPr="001474FD">
        <w:rPr>
          <w:rFonts w:ascii="Arial" w:hAnsi="Arial" w:cs="Arial"/>
          <w:sz w:val="20"/>
          <w:lang w:val="en-US"/>
        </w:rPr>
        <w:t>: 906–12.</w:t>
      </w:r>
    </w:p>
    <w:p w14:paraId="21F90CFE" w14:textId="77777777" w:rsidR="001474FD" w:rsidRPr="001474FD" w:rsidRDefault="001474FD" w:rsidP="001474FD">
      <w:pPr>
        <w:widowControl w:val="0"/>
        <w:autoSpaceDE w:val="0"/>
        <w:autoSpaceDN w:val="0"/>
        <w:adjustRightInd w:val="0"/>
        <w:rPr>
          <w:rFonts w:ascii="Arial" w:hAnsi="Arial" w:cs="Arial"/>
          <w:sz w:val="20"/>
          <w:lang w:val="en-US"/>
        </w:rPr>
      </w:pPr>
      <w:r w:rsidRPr="001474FD">
        <w:rPr>
          <w:rFonts w:ascii="Arial" w:hAnsi="Arial" w:cs="Arial"/>
          <w:sz w:val="20"/>
          <w:lang w:val="en-US"/>
        </w:rPr>
        <w:t>9</w:t>
      </w:r>
      <w:r w:rsidRPr="001474FD">
        <w:rPr>
          <w:rFonts w:ascii="Arial" w:hAnsi="Arial" w:cs="Arial"/>
          <w:sz w:val="20"/>
          <w:lang w:val="en-US"/>
        </w:rPr>
        <w:tab/>
        <w:t xml:space="preserve">Ravaioli F, Colecchia A, Alemanni LV, </w:t>
      </w:r>
      <w:r w:rsidRPr="001474FD">
        <w:rPr>
          <w:rFonts w:ascii="Arial" w:hAnsi="Arial" w:cs="Arial"/>
          <w:i/>
          <w:iCs/>
          <w:sz w:val="20"/>
          <w:lang w:val="en-US"/>
        </w:rPr>
        <w:t>et al.</w:t>
      </w:r>
      <w:r w:rsidRPr="001474FD">
        <w:rPr>
          <w:rFonts w:ascii="Arial" w:hAnsi="Arial" w:cs="Arial"/>
          <w:sz w:val="20"/>
          <w:lang w:val="en-US"/>
        </w:rPr>
        <w:t xml:space="preserve"> Role of imaging techniques in liver veno-occlusive disease diagnosis: recent advances and literature review. Expert Review of Gastroenterology and Hepatology. 2019; </w:t>
      </w:r>
      <w:r w:rsidRPr="001474FD">
        <w:rPr>
          <w:rFonts w:ascii="Arial" w:hAnsi="Arial" w:cs="Arial"/>
          <w:b/>
          <w:bCs/>
          <w:sz w:val="20"/>
          <w:lang w:val="en-US"/>
        </w:rPr>
        <w:t>13</w:t>
      </w:r>
      <w:r w:rsidRPr="001474FD">
        <w:rPr>
          <w:rFonts w:ascii="Arial" w:hAnsi="Arial" w:cs="Arial"/>
          <w:sz w:val="20"/>
          <w:lang w:val="en-US"/>
        </w:rPr>
        <w:t>: 463–84.</w:t>
      </w:r>
    </w:p>
    <w:p w14:paraId="6A7427EA" w14:textId="77777777" w:rsidR="001474FD" w:rsidRPr="001474FD" w:rsidRDefault="001474FD" w:rsidP="001474FD">
      <w:pPr>
        <w:widowControl w:val="0"/>
        <w:autoSpaceDE w:val="0"/>
        <w:autoSpaceDN w:val="0"/>
        <w:adjustRightInd w:val="0"/>
        <w:rPr>
          <w:rFonts w:ascii="Arial" w:hAnsi="Arial" w:cs="Arial"/>
          <w:sz w:val="20"/>
          <w:lang w:val="en-US"/>
        </w:rPr>
      </w:pPr>
      <w:r w:rsidRPr="001474FD">
        <w:rPr>
          <w:rFonts w:ascii="Arial" w:hAnsi="Arial" w:cs="Arial"/>
          <w:sz w:val="20"/>
          <w:lang w:val="en-US"/>
        </w:rPr>
        <w:t>10</w:t>
      </w:r>
      <w:r w:rsidRPr="001474FD">
        <w:rPr>
          <w:rFonts w:ascii="Arial" w:hAnsi="Arial" w:cs="Arial"/>
          <w:sz w:val="20"/>
          <w:lang w:val="en-US"/>
        </w:rPr>
        <w:tab/>
        <w:t xml:space="preserve">Carreras E, Díaz-Beyá M, Rosiñol L, Martínez C, Fernández-Avilés F, Rovira M. The incidence of veno-occlusive disease following allogeneic hematopoietic stem cell transplantation has diminished and the outcome improved over the last decade. </w:t>
      </w:r>
      <w:r w:rsidRPr="001474FD">
        <w:rPr>
          <w:rFonts w:ascii="Arial" w:hAnsi="Arial" w:cs="Arial"/>
          <w:i/>
          <w:iCs/>
          <w:sz w:val="20"/>
          <w:lang w:val="en-US"/>
        </w:rPr>
        <w:t>Biology of Blood and Marrow Transplantation</w:t>
      </w:r>
      <w:r w:rsidRPr="001474FD">
        <w:rPr>
          <w:rFonts w:ascii="Arial" w:hAnsi="Arial" w:cs="Arial"/>
          <w:sz w:val="20"/>
          <w:lang w:val="en-US"/>
        </w:rPr>
        <w:t xml:space="preserve"> 2011; </w:t>
      </w:r>
      <w:r w:rsidRPr="001474FD">
        <w:rPr>
          <w:rFonts w:ascii="Arial" w:hAnsi="Arial" w:cs="Arial"/>
          <w:b/>
          <w:bCs/>
          <w:sz w:val="20"/>
          <w:lang w:val="en-US"/>
        </w:rPr>
        <w:t>17</w:t>
      </w:r>
      <w:r w:rsidRPr="001474FD">
        <w:rPr>
          <w:rFonts w:ascii="Arial" w:hAnsi="Arial" w:cs="Arial"/>
          <w:sz w:val="20"/>
          <w:lang w:val="en-US"/>
        </w:rPr>
        <w:t>: 1713–20.</w:t>
      </w:r>
    </w:p>
    <w:p w14:paraId="052C2C54" w14:textId="77777777" w:rsidR="001474FD" w:rsidRPr="001474FD" w:rsidRDefault="001474FD" w:rsidP="001474FD">
      <w:pPr>
        <w:widowControl w:val="0"/>
        <w:autoSpaceDE w:val="0"/>
        <w:autoSpaceDN w:val="0"/>
        <w:adjustRightInd w:val="0"/>
        <w:rPr>
          <w:rFonts w:ascii="Arial" w:hAnsi="Arial" w:cs="Arial"/>
          <w:sz w:val="20"/>
          <w:lang w:val="en-US"/>
        </w:rPr>
      </w:pPr>
      <w:r w:rsidRPr="001474FD">
        <w:rPr>
          <w:rFonts w:ascii="Arial" w:hAnsi="Arial" w:cs="Arial"/>
          <w:sz w:val="20"/>
          <w:lang w:val="en-US"/>
        </w:rPr>
        <w:t>11</w:t>
      </w:r>
      <w:r w:rsidRPr="001474FD">
        <w:rPr>
          <w:rFonts w:ascii="Arial" w:hAnsi="Arial" w:cs="Arial"/>
          <w:sz w:val="20"/>
          <w:lang w:val="en-US"/>
        </w:rPr>
        <w:tab/>
        <w:t xml:space="preserve">Lassau N, Leclère J, Auperin A, </w:t>
      </w:r>
      <w:r w:rsidRPr="001474FD">
        <w:rPr>
          <w:rFonts w:ascii="Arial" w:hAnsi="Arial" w:cs="Arial"/>
          <w:i/>
          <w:iCs/>
          <w:sz w:val="20"/>
          <w:lang w:val="en-US"/>
        </w:rPr>
        <w:t>et al.</w:t>
      </w:r>
      <w:r w:rsidRPr="001474FD">
        <w:rPr>
          <w:rFonts w:ascii="Arial" w:hAnsi="Arial" w:cs="Arial"/>
          <w:sz w:val="20"/>
          <w:lang w:val="en-US"/>
        </w:rPr>
        <w:t xml:space="preserve"> Hepatic veno-occlusive disease after myeloablative treatment and bone marrow transplantation: value of gray-scale and Doppler US in 100 patients. </w:t>
      </w:r>
      <w:r w:rsidRPr="001474FD">
        <w:rPr>
          <w:rFonts w:ascii="Arial" w:hAnsi="Arial" w:cs="Arial"/>
          <w:i/>
          <w:iCs/>
          <w:sz w:val="20"/>
          <w:lang w:val="en-US"/>
        </w:rPr>
        <w:t>Radiology</w:t>
      </w:r>
      <w:r w:rsidRPr="001474FD">
        <w:rPr>
          <w:rFonts w:ascii="Arial" w:hAnsi="Arial" w:cs="Arial"/>
          <w:sz w:val="20"/>
          <w:lang w:val="en-US"/>
        </w:rPr>
        <w:t xml:space="preserve"> 1997; </w:t>
      </w:r>
      <w:r w:rsidRPr="001474FD">
        <w:rPr>
          <w:rFonts w:ascii="Arial" w:hAnsi="Arial" w:cs="Arial"/>
          <w:b/>
          <w:bCs/>
          <w:sz w:val="20"/>
          <w:lang w:val="en-US"/>
        </w:rPr>
        <w:t>204</w:t>
      </w:r>
      <w:r w:rsidRPr="001474FD">
        <w:rPr>
          <w:rFonts w:ascii="Arial" w:hAnsi="Arial" w:cs="Arial"/>
          <w:sz w:val="20"/>
          <w:lang w:val="en-US"/>
        </w:rPr>
        <w:t>: 545–52.</w:t>
      </w:r>
    </w:p>
    <w:p w14:paraId="0AAD50B6" w14:textId="77777777" w:rsidR="001474FD" w:rsidRPr="001474FD" w:rsidRDefault="001474FD" w:rsidP="001474FD">
      <w:pPr>
        <w:widowControl w:val="0"/>
        <w:autoSpaceDE w:val="0"/>
        <w:autoSpaceDN w:val="0"/>
        <w:adjustRightInd w:val="0"/>
        <w:rPr>
          <w:rFonts w:ascii="Arial" w:hAnsi="Arial" w:cs="Arial"/>
          <w:sz w:val="20"/>
          <w:lang w:val="en-US"/>
        </w:rPr>
      </w:pPr>
      <w:r w:rsidRPr="001474FD">
        <w:rPr>
          <w:rFonts w:ascii="Arial" w:hAnsi="Arial" w:cs="Arial"/>
          <w:sz w:val="20"/>
          <w:lang w:val="en-US"/>
        </w:rPr>
        <w:t>12</w:t>
      </w:r>
      <w:r w:rsidRPr="001474FD">
        <w:rPr>
          <w:rFonts w:ascii="Arial" w:hAnsi="Arial" w:cs="Arial"/>
          <w:sz w:val="20"/>
          <w:lang w:val="en-US"/>
        </w:rPr>
        <w:tab/>
        <w:t xml:space="preserve">Lassau N, Auperin A, Leclere J, Bennaceur A, Valteau-Couanet D, Hartmann O. Prognostic value of doppler-ultrasonography in hepatic veno-occlusive disease. </w:t>
      </w:r>
      <w:r w:rsidRPr="001474FD">
        <w:rPr>
          <w:rFonts w:ascii="Arial" w:hAnsi="Arial" w:cs="Arial"/>
          <w:i/>
          <w:iCs/>
          <w:sz w:val="20"/>
          <w:lang w:val="en-US"/>
        </w:rPr>
        <w:t>Transplantation</w:t>
      </w:r>
      <w:r w:rsidRPr="001474FD">
        <w:rPr>
          <w:rFonts w:ascii="Arial" w:hAnsi="Arial" w:cs="Arial"/>
          <w:sz w:val="20"/>
          <w:lang w:val="en-US"/>
        </w:rPr>
        <w:t xml:space="preserve"> 2002; </w:t>
      </w:r>
      <w:r w:rsidRPr="001474FD">
        <w:rPr>
          <w:rFonts w:ascii="Arial" w:hAnsi="Arial" w:cs="Arial"/>
          <w:b/>
          <w:bCs/>
          <w:sz w:val="20"/>
          <w:lang w:val="en-US"/>
        </w:rPr>
        <w:t>74</w:t>
      </w:r>
      <w:r w:rsidRPr="001474FD">
        <w:rPr>
          <w:rFonts w:ascii="Arial" w:hAnsi="Arial" w:cs="Arial"/>
          <w:sz w:val="20"/>
          <w:lang w:val="en-US"/>
        </w:rPr>
        <w:t>: 60–6.</w:t>
      </w:r>
    </w:p>
    <w:p w14:paraId="35FE0074" w14:textId="77777777" w:rsidR="001474FD" w:rsidRPr="001474FD" w:rsidRDefault="001474FD" w:rsidP="001474FD">
      <w:pPr>
        <w:widowControl w:val="0"/>
        <w:autoSpaceDE w:val="0"/>
        <w:autoSpaceDN w:val="0"/>
        <w:adjustRightInd w:val="0"/>
        <w:rPr>
          <w:rFonts w:ascii="Arial" w:hAnsi="Arial" w:cs="Arial"/>
          <w:sz w:val="20"/>
          <w:lang w:val="en-US"/>
        </w:rPr>
      </w:pPr>
      <w:r w:rsidRPr="001474FD">
        <w:rPr>
          <w:rFonts w:ascii="Arial" w:hAnsi="Arial" w:cs="Arial"/>
          <w:sz w:val="20"/>
          <w:lang w:val="en-US"/>
        </w:rPr>
        <w:t>13</w:t>
      </w:r>
      <w:r w:rsidRPr="001474FD">
        <w:rPr>
          <w:rFonts w:ascii="Arial" w:hAnsi="Arial" w:cs="Arial"/>
          <w:sz w:val="20"/>
          <w:lang w:val="en-US"/>
        </w:rPr>
        <w:tab/>
        <w:t xml:space="preserve">Nishida M, Sugita J, Takahashi S, </w:t>
      </w:r>
      <w:r w:rsidRPr="001474FD">
        <w:rPr>
          <w:rFonts w:ascii="Arial" w:hAnsi="Arial" w:cs="Arial"/>
          <w:i/>
          <w:iCs/>
          <w:sz w:val="20"/>
          <w:lang w:val="en-US"/>
        </w:rPr>
        <w:t>et al.</w:t>
      </w:r>
      <w:r w:rsidRPr="001474FD">
        <w:rPr>
          <w:rFonts w:ascii="Arial" w:hAnsi="Arial" w:cs="Arial"/>
          <w:sz w:val="20"/>
          <w:lang w:val="en-US"/>
        </w:rPr>
        <w:t xml:space="preserve"> Refined ultrasonographic criteria for sinusoidal obstruction syndrome after hematopoietic stem cell transplantation. </w:t>
      </w:r>
      <w:r w:rsidRPr="001474FD">
        <w:rPr>
          <w:rFonts w:ascii="Arial" w:hAnsi="Arial" w:cs="Arial"/>
          <w:i/>
          <w:iCs/>
          <w:sz w:val="20"/>
          <w:lang w:val="en-US"/>
        </w:rPr>
        <w:t>Int J Hematol</w:t>
      </w:r>
      <w:r w:rsidRPr="001474FD">
        <w:rPr>
          <w:rFonts w:ascii="Arial" w:hAnsi="Arial" w:cs="Arial"/>
          <w:sz w:val="20"/>
          <w:lang w:val="en-US"/>
        </w:rPr>
        <w:t xml:space="preserve"> 2021; </w:t>
      </w:r>
      <w:r w:rsidRPr="001474FD">
        <w:rPr>
          <w:rFonts w:ascii="Arial" w:hAnsi="Arial" w:cs="Arial"/>
          <w:b/>
          <w:bCs/>
          <w:sz w:val="20"/>
          <w:lang w:val="en-US"/>
        </w:rPr>
        <w:t>114</w:t>
      </w:r>
      <w:r w:rsidRPr="001474FD">
        <w:rPr>
          <w:rFonts w:ascii="Arial" w:hAnsi="Arial" w:cs="Arial"/>
          <w:sz w:val="20"/>
          <w:lang w:val="en-US"/>
        </w:rPr>
        <w:t>: 94–101.</w:t>
      </w:r>
    </w:p>
    <w:p w14:paraId="6C642DAA" w14:textId="77777777" w:rsidR="001474FD" w:rsidRPr="001474FD" w:rsidRDefault="001474FD" w:rsidP="001474FD">
      <w:pPr>
        <w:widowControl w:val="0"/>
        <w:autoSpaceDE w:val="0"/>
        <w:autoSpaceDN w:val="0"/>
        <w:adjustRightInd w:val="0"/>
        <w:rPr>
          <w:rFonts w:ascii="Arial" w:hAnsi="Arial" w:cs="Arial"/>
          <w:sz w:val="20"/>
          <w:lang w:val="en-US"/>
        </w:rPr>
      </w:pPr>
      <w:r w:rsidRPr="001474FD">
        <w:rPr>
          <w:rFonts w:ascii="Arial" w:hAnsi="Arial" w:cs="Arial"/>
          <w:sz w:val="20"/>
          <w:lang w:val="en-US"/>
        </w:rPr>
        <w:t>14</w:t>
      </w:r>
      <w:r w:rsidRPr="001474FD">
        <w:rPr>
          <w:rFonts w:ascii="Arial" w:hAnsi="Arial" w:cs="Arial"/>
          <w:sz w:val="20"/>
          <w:lang w:val="en-US"/>
        </w:rPr>
        <w:tab/>
        <w:t xml:space="preserve">Nishida M, Kahata K, Hayase E, </w:t>
      </w:r>
      <w:r w:rsidRPr="001474FD">
        <w:rPr>
          <w:rFonts w:ascii="Arial" w:hAnsi="Arial" w:cs="Arial"/>
          <w:i/>
          <w:iCs/>
          <w:sz w:val="20"/>
          <w:lang w:val="en-US"/>
        </w:rPr>
        <w:t>et al.</w:t>
      </w:r>
      <w:r w:rsidRPr="001474FD">
        <w:rPr>
          <w:rFonts w:ascii="Arial" w:hAnsi="Arial" w:cs="Arial"/>
          <w:sz w:val="20"/>
          <w:lang w:val="en-US"/>
        </w:rPr>
        <w:t xml:space="preserve"> Novel Ultrasonographic Scoring System of Sinusoidal Obstruction Syndrome after Hematopoietic Stem Cell Transplantation. </w:t>
      </w:r>
      <w:r w:rsidRPr="001474FD">
        <w:rPr>
          <w:rFonts w:ascii="Arial" w:hAnsi="Arial" w:cs="Arial"/>
          <w:i/>
          <w:iCs/>
          <w:sz w:val="20"/>
          <w:lang w:val="en-US"/>
        </w:rPr>
        <w:t>Biology of Blood and Marrow Transplantation</w:t>
      </w:r>
      <w:r w:rsidRPr="001474FD">
        <w:rPr>
          <w:rFonts w:ascii="Arial" w:hAnsi="Arial" w:cs="Arial"/>
          <w:sz w:val="20"/>
          <w:lang w:val="en-US"/>
        </w:rPr>
        <w:t xml:space="preserve"> 2018; </w:t>
      </w:r>
      <w:r w:rsidRPr="001474FD">
        <w:rPr>
          <w:rFonts w:ascii="Arial" w:hAnsi="Arial" w:cs="Arial"/>
          <w:b/>
          <w:bCs/>
          <w:sz w:val="20"/>
          <w:lang w:val="en-US"/>
        </w:rPr>
        <w:t>24</w:t>
      </w:r>
      <w:r w:rsidRPr="001474FD">
        <w:rPr>
          <w:rFonts w:ascii="Arial" w:hAnsi="Arial" w:cs="Arial"/>
          <w:sz w:val="20"/>
          <w:lang w:val="en-US"/>
        </w:rPr>
        <w:t>: 1896–900.</w:t>
      </w:r>
    </w:p>
    <w:p w14:paraId="5A38D68E" w14:textId="77777777" w:rsidR="001474FD" w:rsidRPr="001474FD" w:rsidRDefault="001474FD" w:rsidP="001474FD">
      <w:pPr>
        <w:widowControl w:val="0"/>
        <w:autoSpaceDE w:val="0"/>
        <w:autoSpaceDN w:val="0"/>
        <w:adjustRightInd w:val="0"/>
        <w:rPr>
          <w:rFonts w:ascii="Arial" w:hAnsi="Arial" w:cs="Arial"/>
          <w:sz w:val="20"/>
          <w:lang w:val="en-US"/>
        </w:rPr>
      </w:pPr>
      <w:r w:rsidRPr="001474FD">
        <w:rPr>
          <w:rFonts w:ascii="Arial" w:hAnsi="Arial" w:cs="Arial"/>
          <w:sz w:val="20"/>
          <w:lang w:val="en-US"/>
        </w:rPr>
        <w:t>15</w:t>
      </w:r>
      <w:r w:rsidRPr="001474FD">
        <w:rPr>
          <w:rFonts w:ascii="Arial" w:hAnsi="Arial" w:cs="Arial"/>
          <w:sz w:val="20"/>
          <w:lang w:val="en-US"/>
        </w:rPr>
        <w:tab/>
        <w:t xml:space="preserve">Chan SS, Colecchia A, Duarte RF, Bonifazi F, Ravaioli F, Bourhis JH. Imaging in Hepatic Veno-Occlusive Disease/Sinusoidal Obstruction Syndrome. </w:t>
      </w:r>
      <w:r w:rsidRPr="001474FD">
        <w:rPr>
          <w:rFonts w:ascii="Arial" w:hAnsi="Arial" w:cs="Arial"/>
          <w:i/>
          <w:iCs/>
          <w:sz w:val="20"/>
          <w:lang w:val="en-US"/>
        </w:rPr>
        <w:t>Biology of Blood and Marrow Transplantation</w:t>
      </w:r>
      <w:r w:rsidRPr="001474FD">
        <w:rPr>
          <w:rFonts w:ascii="Arial" w:hAnsi="Arial" w:cs="Arial"/>
          <w:sz w:val="20"/>
          <w:lang w:val="en-US"/>
        </w:rPr>
        <w:t xml:space="preserve"> 2020; </w:t>
      </w:r>
      <w:r w:rsidRPr="001474FD">
        <w:rPr>
          <w:rFonts w:ascii="Arial" w:hAnsi="Arial" w:cs="Arial"/>
          <w:b/>
          <w:bCs/>
          <w:sz w:val="20"/>
          <w:lang w:val="en-US"/>
        </w:rPr>
        <w:t>26</w:t>
      </w:r>
      <w:r w:rsidRPr="001474FD">
        <w:rPr>
          <w:rFonts w:ascii="Arial" w:hAnsi="Arial" w:cs="Arial"/>
          <w:sz w:val="20"/>
          <w:lang w:val="en-US"/>
        </w:rPr>
        <w:t>: 1770–9.</w:t>
      </w:r>
    </w:p>
    <w:p w14:paraId="518BF2E8" w14:textId="77777777" w:rsidR="001474FD" w:rsidRPr="001474FD" w:rsidRDefault="001474FD" w:rsidP="001474FD">
      <w:pPr>
        <w:widowControl w:val="0"/>
        <w:autoSpaceDE w:val="0"/>
        <w:autoSpaceDN w:val="0"/>
        <w:adjustRightInd w:val="0"/>
        <w:rPr>
          <w:rFonts w:ascii="Arial" w:hAnsi="Arial" w:cs="Arial"/>
          <w:sz w:val="20"/>
          <w:lang w:val="en-US"/>
        </w:rPr>
      </w:pPr>
      <w:r w:rsidRPr="001474FD">
        <w:rPr>
          <w:rFonts w:ascii="Arial" w:hAnsi="Arial" w:cs="Arial"/>
          <w:sz w:val="20"/>
        </w:rPr>
        <w:t>16</w:t>
      </w:r>
      <w:r w:rsidRPr="001474FD">
        <w:rPr>
          <w:rFonts w:ascii="Arial" w:hAnsi="Arial" w:cs="Arial"/>
          <w:sz w:val="20"/>
        </w:rPr>
        <w:tab/>
        <w:t xml:space="preserve">Bonifazi F, Barbato F, Ravaioli F, </w:t>
      </w:r>
      <w:r w:rsidRPr="001474FD">
        <w:rPr>
          <w:rFonts w:ascii="Arial" w:hAnsi="Arial" w:cs="Arial"/>
          <w:i/>
          <w:iCs/>
          <w:sz w:val="20"/>
        </w:rPr>
        <w:t>et al.</w:t>
      </w:r>
      <w:r w:rsidRPr="001474FD">
        <w:rPr>
          <w:rFonts w:ascii="Arial" w:hAnsi="Arial" w:cs="Arial"/>
          <w:sz w:val="20"/>
        </w:rPr>
        <w:t xml:space="preserve"> </w:t>
      </w:r>
      <w:r w:rsidRPr="001474FD">
        <w:rPr>
          <w:rFonts w:ascii="Arial" w:hAnsi="Arial" w:cs="Arial"/>
          <w:sz w:val="20"/>
          <w:lang w:val="en-US"/>
        </w:rPr>
        <w:t xml:space="preserve">Diagnosis and Treatment of VOD/SOS After Allogeneic Hematopoietic Stem Cell Transplantation. </w:t>
      </w:r>
      <w:r w:rsidRPr="001474FD">
        <w:rPr>
          <w:rFonts w:ascii="Arial" w:hAnsi="Arial" w:cs="Arial"/>
          <w:i/>
          <w:iCs/>
          <w:sz w:val="20"/>
          <w:lang w:val="en-US"/>
        </w:rPr>
        <w:t>Front Immunol</w:t>
      </w:r>
      <w:r w:rsidRPr="001474FD">
        <w:rPr>
          <w:rFonts w:ascii="Arial" w:hAnsi="Arial" w:cs="Arial"/>
          <w:sz w:val="20"/>
          <w:lang w:val="en-US"/>
        </w:rPr>
        <w:t xml:space="preserve"> 2020; </w:t>
      </w:r>
      <w:r w:rsidRPr="001474FD">
        <w:rPr>
          <w:rFonts w:ascii="Arial" w:hAnsi="Arial" w:cs="Arial"/>
          <w:b/>
          <w:bCs/>
          <w:sz w:val="20"/>
          <w:lang w:val="en-US"/>
        </w:rPr>
        <w:t>11</w:t>
      </w:r>
      <w:r w:rsidRPr="001474FD">
        <w:rPr>
          <w:rFonts w:ascii="Arial" w:hAnsi="Arial" w:cs="Arial"/>
          <w:sz w:val="20"/>
          <w:lang w:val="en-US"/>
        </w:rPr>
        <w:t>. DOI:10.3389/fimmu.2020.00489.</w:t>
      </w:r>
    </w:p>
    <w:p w14:paraId="00F288A6" w14:textId="77777777" w:rsidR="001474FD" w:rsidRPr="001474FD" w:rsidRDefault="001474FD" w:rsidP="001474FD">
      <w:pPr>
        <w:widowControl w:val="0"/>
        <w:autoSpaceDE w:val="0"/>
        <w:autoSpaceDN w:val="0"/>
        <w:adjustRightInd w:val="0"/>
        <w:rPr>
          <w:rFonts w:ascii="Arial" w:hAnsi="Arial" w:cs="Arial"/>
          <w:sz w:val="20"/>
          <w:lang w:val="en-US"/>
        </w:rPr>
      </w:pPr>
      <w:r w:rsidRPr="001474FD">
        <w:rPr>
          <w:rFonts w:ascii="Arial" w:hAnsi="Arial" w:cs="Arial"/>
          <w:sz w:val="20"/>
          <w:lang w:val="en-US"/>
        </w:rPr>
        <w:t>17</w:t>
      </w:r>
      <w:r w:rsidRPr="001474FD">
        <w:rPr>
          <w:rFonts w:ascii="Arial" w:hAnsi="Arial" w:cs="Arial"/>
          <w:sz w:val="20"/>
          <w:lang w:val="en-US"/>
        </w:rPr>
        <w:tab/>
        <w:t xml:space="preserve">Ravaioli F, Montagnani M, Lisotti A, Festi D, Mazzella G, Azzaroli F. Noninvasive assessment of portal hypertension in advanced chronic liver disease: An update. </w:t>
      </w:r>
      <w:r w:rsidRPr="001474FD">
        <w:rPr>
          <w:rFonts w:ascii="Arial" w:hAnsi="Arial" w:cs="Arial"/>
          <w:i/>
          <w:iCs/>
          <w:sz w:val="20"/>
          <w:lang w:val="en-US"/>
        </w:rPr>
        <w:t>Gastroenterology Research and Practice</w:t>
      </w:r>
      <w:r w:rsidRPr="001474FD">
        <w:rPr>
          <w:rFonts w:ascii="Arial" w:hAnsi="Arial" w:cs="Arial"/>
          <w:sz w:val="20"/>
          <w:lang w:val="en-US"/>
        </w:rPr>
        <w:t xml:space="preserve"> 2018; </w:t>
      </w:r>
      <w:r w:rsidRPr="001474FD">
        <w:rPr>
          <w:rFonts w:ascii="Arial" w:hAnsi="Arial" w:cs="Arial"/>
          <w:b/>
          <w:bCs/>
          <w:sz w:val="20"/>
          <w:lang w:val="en-US"/>
        </w:rPr>
        <w:t>2018</w:t>
      </w:r>
      <w:r w:rsidRPr="001474FD">
        <w:rPr>
          <w:rFonts w:ascii="Arial" w:hAnsi="Arial" w:cs="Arial"/>
          <w:sz w:val="20"/>
          <w:lang w:val="en-US"/>
        </w:rPr>
        <w:t>: 1–11.</w:t>
      </w:r>
    </w:p>
    <w:p w14:paraId="7370FE07" w14:textId="77777777" w:rsidR="001474FD" w:rsidRPr="001474FD" w:rsidRDefault="001474FD" w:rsidP="001474FD">
      <w:pPr>
        <w:widowControl w:val="0"/>
        <w:autoSpaceDE w:val="0"/>
        <w:autoSpaceDN w:val="0"/>
        <w:adjustRightInd w:val="0"/>
        <w:rPr>
          <w:rFonts w:ascii="Arial" w:hAnsi="Arial" w:cs="Arial"/>
          <w:sz w:val="20"/>
          <w:lang w:val="en-US"/>
        </w:rPr>
      </w:pPr>
      <w:r w:rsidRPr="001474FD">
        <w:rPr>
          <w:rFonts w:ascii="Arial" w:hAnsi="Arial" w:cs="Arial"/>
          <w:sz w:val="20"/>
          <w:lang w:val="en-US"/>
        </w:rPr>
        <w:t>18</w:t>
      </w:r>
      <w:r w:rsidRPr="001474FD">
        <w:rPr>
          <w:rFonts w:ascii="Arial" w:hAnsi="Arial" w:cs="Arial"/>
          <w:sz w:val="20"/>
          <w:lang w:val="en-US"/>
        </w:rPr>
        <w:tab/>
        <w:t xml:space="preserve">Mulazzani L, Cantisani V, Piscaglia F. Different techniques for ultrasound liver elastography. Journal of Hepatology. 2019; </w:t>
      </w:r>
      <w:r w:rsidRPr="001474FD">
        <w:rPr>
          <w:rFonts w:ascii="Arial" w:hAnsi="Arial" w:cs="Arial"/>
          <w:b/>
          <w:bCs/>
          <w:sz w:val="20"/>
          <w:lang w:val="en-US"/>
        </w:rPr>
        <w:t>70</w:t>
      </w:r>
      <w:r w:rsidRPr="001474FD">
        <w:rPr>
          <w:rFonts w:ascii="Arial" w:hAnsi="Arial" w:cs="Arial"/>
          <w:sz w:val="20"/>
          <w:lang w:val="en-US"/>
        </w:rPr>
        <w:t>: 545–7.</w:t>
      </w:r>
    </w:p>
    <w:p w14:paraId="50CE3573" w14:textId="77777777" w:rsidR="001474FD" w:rsidRPr="001474FD" w:rsidRDefault="001474FD" w:rsidP="001474FD">
      <w:pPr>
        <w:widowControl w:val="0"/>
        <w:autoSpaceDE w:val="0"/>
        <w:autoSpaceDN w:val="0"/>
        <w:adjustRightInd w:val="0"/>
        <w:rPr>
          <w:rFonts w:ascii="Arial" w:hAnsi="Arial" w:cs="Arial"/>
          <w:sz w:val="20"/>
          <w:lang w:val="en-US"/>
        </w:rPr>
      </w:pPr>
      <w:r w:rsidRPr="001474FD">
        <w:rPr>
          <w:rFonts w:ascii="Arial" w:hAnsi="Arial" w:cs="Arial"/>
          <w:sz w:val="20"/>
          <w:lang w:val="en-US"/>
        </w:rPr>
        <w:t>19</w:t>
      </w:r>
      <w:r w:rsidRPr="001474FD">
        <w:rPr>
          <w:rFonts w:ascii="Arial" w:hAnsi="Arial" w:cs="Arial"/>
          <w:sz w:val="20"/>
          <w:lang w:val="en-US"/>
        </w:rPr>
        <w:tab/>
        <w:t xml:space="preserve">Dajti E, Ravaioli F, Zykus R, </w:t>
      </w:r>
      <w:r w:rsidRPr="001474FD">
        <w:rPr>
          <w:rFonts w:ascii="Arial" w:hAnsi="Arial" w:cs="Arial"/>
          <w:i/>
          <w:iCs/>
          <w:sz w:val="20"/>
          <w:lang w:val="en-US"/>
        </w:rPr>
        <w:t>et al.</w:t>
      </w:r>
      <w:r w:rsidRPr="001474FD">
        <w:rPr>
          <w:rFonts w:ascii="Arial" w:hAnsi="Arial" w:cs="Arial"/>
          <w:sz w:val="20"/>
          <w:lang w:val="en-US"/>
        </w:rPr>
        <w:t xml:space="preserve"> Accuracy of spleen stiffness measurement for the diagnosis of clinically significant portal hypertension in patients with compensated advanced chronic liver disease: a systematic review and individual patient data meta-analysis. </w:t>
      </w:r>
      <w:r w:rsidRPr="001474FD">
        <w:rPr>
          <w:rFonts w:ascii="Arial" w:hAnsi="Arial" w:cs="Arial"/>
          <w:i/>
          <w:iCs/>
          <w:sz w:val="20"/>
          <w:lang w:val="en-US"/>
        </w:rPr>
        <w:t>The Lancet Gastroenterology &amp; Hepatology</w:t>
      </w:r>
      <w:r w:rsidRPr="001474FD">
        <w:rPr>
          <w:rFonts w:ascii="Arial" w:hAnsi="Arial" w:cs="Arial"/>
          <w:sz w:val="20"/>
          <w:lang w:val="en-US"/>
        </w:rPr>
        <w:t xml:space="preserve"> 2023; </w:t>
      </w:r>
      <w:r w:rsidRPr="001474FD">
        <w:rPr>
          <w:rFonts w:ascii="Arial" w:hAnsi="Arial" w:cs="Arial"/>
          <w:b/>
          <w:bCs/>
          <w:sz w:val="20"/>
          <w:lang w:val="en-US"/>
        </w:rPr>
        <w:t>8</w:t>
      </w:r>
      <w:r w:rsidRPr="001474FD">
        <w:rPr>
          <w:rFonts w:ascii="Arial" w:hAnsi="Arial" w:cs="Arial"/>
          <w:sz w:val="20"/>
          <w:lang w:val="en-US"/>
        </w:rPr>
        <w:t>: 816–28.</w:t>
      </w:r>
    </w:p>
    <w:p w14:paraId="11E5592B" w14:textId="77777777" w:rsidR="001474FD" w:rsidRPr="001474FD" w:rsidRDefault="001474FD" w:rsidP="001474FD">
      <w:pPr>
        <w:widowControl w:val="0"/>
        <w:autoSpaceDE w:val="0"/>
        <w:autoSpaceDN w:val="0"/>
        <w:adjustRightInd w:val="0"/>
        <w:rPr>
          <w:rFonts w:ascii="Arial" w:hAnsi="Arial" w:cs="Arial"/>
          <w:sz w:val="20"/>
          <w:lang w:val="en-US"/>
        </w:rPr>
      </w:pPr>
      <w:r w:rsidRPr="001474FD">
        <w:rPr>
          <w:rFonts w:ascii="Arial" w:hAnsi="Arial" w:cs="Arial"/>
          <w:sz w:val="20"/>
          <w:lang w:val="en-US"/>
        </w:rPr>
        <w:t>20</w:t>
      </w:r>
      <w:r w:rsidRPr="001474FD">
        <w:rPr>
          <w:rFonts w:ascii="Arial" w:hAnsi="Arial" w:cs="Arial"/>
          <w:sz w:val="20"/>
          <w:lang w:val="en-US"/>
        </w:rPr>
        <w:tab/>
        <w:t xml:space="preserve">de Franchis R, Bosch J, Garcia-Tsao G, </w:t>
      </w:r>
      <w:r w:rsidRPr="001474FD">
        <w:rPr>
          <w:rFonts w:ascii="Arial" w:hAnsi="Arial" w:cs="Arial"/>
          <w:i/>
          <w:iCs/>
          <w:sz w:val="20"/>
          <w:lang w:val="en-US"/>
        </w:rPr>
        <w:t>et al.</w:t>
      </w:r>
      <w:r w:rsidRPr="001474FD">
        <w:rPr>
          <w:rFonts w:ascii="Arial" w:hAnsi="Arial" w:cs="Arial"/>
          <w:sz w:val="20"/>
          <w:lang w:val="en-US"/>
        </w:rPr>
        <w:t xml:space="preserve"> Baveno VII – Renewing consensus in portal hypertension. </w:t>
      </w:r>
      <w:r w:rsidRPr="001474FD">
        <w:rPr>
          <w:rFonts w:ascii="Arial" w:hAnsi="Arial" w:cs="Arial"/>
          <w:i/>
          <w:iCs/>
          <w:sz w:val="20"/>
          <w:lang w:val="en-US"/>
        </w:rPr>
        <w:t>Journal of Hepatology</w:t>
      </w:r>
      <w:r w:rsidRPr="001474FD">
        <w:rPr>
          <w:rFonts w:ascii="Arial" w:hAnsi="Arial" w:cs="Arial"/>
          <w:sz w:val="20"/>
          <w:lang w:val="en-US"/>
        </w:rPr>
        <w:t xml:space="preserve"> 2022; </w:t>
      </w:r>
      <w:r w:rsidRPr="001474FD">
        <w:rPr>
          <w:rFonts w:ascii="Arial" w:hAnsi="Arial" w:cs="Arial"/>
          <w:b/>
          <w:bCs/>
          <w:sz w:val="20"/>
          <w:lang w:val="en-US"/>
        </w:rPr>
        <w:t>76</w:t>
      </w:r>
      <w:r w:rsidRPr="001474FD">
        <w:rPr>
          <w:rFonts w:ascii="Arial" w:hAnsi="Arial" w:cs="Arial"/>
          <w:sz w:val="20"/>
          <w:lang w:val="en-US"/>
        </w:rPr>
        <w:t>: 959–74.</w:t>
      </w:r>
    </w:p>
    <w:p w14:paraId="269A78AD" w14:textId="77777777" w:rsidR="001474FD" w:rsidRPr="001474FD" w:rsidRDefault="001474FD" w:rsidP="001474FD">
      <w:pPr>
        <w:widowControl w:val="0"/>
        <w:autoSpaceDE w:val="0"/>
        <w:autoSpaceDN w:val="0"/>
        <w:adjustRightInd w:val="0"/>
        <w:rPr>
          <w:rFonts w:ascii="Arial" w:hAnsi="Arial" w:cs="Arial"/>
          <w:sz w:val="20"/>
          <w:lang w:val="en-US"/>
        </w:rPr>
      </w:pPr>
      <w:r w:rsidRPr="001474FD">
        <w:rPr>
          <w:rFonts w:ascii="Arial" w:hAnsi="Arial" w:cs="Arial"/>
          <w:sz w:val="20"/>
          <w:lang w:val="en-US"/>
        </w:rPr>
        <w:t>21</w:t>
      </w:r>
      <w:r w:rsidRPr="001474FD">
        <w:rPr>
          <w:rFonts w:ascii="Arial" w:hAnsi="Arial" w:cs="Arial"/>
          <w:sz w:val="20"/>
          <w:lang w:val="en-US"/>
        </w:rPr>
        <w:tab/>
        <w:t xml:space="preserve">McDonald GB, Hinds MS, Fisher LD, </w:t>
      </w:r>
      <w:r w:rsidRPr="001474FD">
        <w:rPr>
          <w:rFonts w:ascii="Arial" w:hAnsi="Arial" w:cs="Arial"/>
          <w:i/>
          <w:iCs/>
          <w:sz w:val="20"/>
          <w:lang w:val="en-US"/>
        </w:rPr>
        <w:t>et al.</w:t>
      </w:r>
      <w:r w:rsidRPr="001474FD">
        <w:rPr>
          <w:rFonts w:ascii="Arial" w:hAnsi="Arial" w:cs="Arial"/>
          <w:sz w:val="20"/>
          <w:lang w:val="en-US"/>
        </w:rPr>
        <w:t xml:space="preserve"> Veno-occlusive disease of the liver and multiorgan failure after bone marrow transplantation: A cohort study of 355 patients. </w:t>
      </w:r>
      <w:r w:rsidRPr="001474FD">
        <w:rPr>
          <w:rFonts w:ascii="Arial" w:hAnsi="Arial" w:cs="Arial"/>
          <w:i/>
          <w:iCs/>
          <w:sz w:val="20"/>
          <w:lang w:val="en-US"/>
        </w:rPr>
        <w:t>Annals of Internal Medicine</w:t>
      </w:r>
      <w:r w:rsidRPr="001474FD">
        <w:rPr>
          <w:rFonts w:ascii="Arial" w:hAnsi="Arial" w:cs="Arial"/>
          <w:sz w:val="20"/>
          <w:lang w:val="en-US"/>
        </w:rPr>
        <w:t xml:space="preserve"> 1993; </w:t>
      </w:r>
      <w:r w:rsidRPr="001474FD">
        <w:rPr>
          <w:rFonts w:ascii="Arial" w:hAnsi="Arial" w:cs="Arial"/>
          <w:b/>
          <w:bCs/>
          <w:sz w:val="20"/>
          <w:lang w:val="en-US"/>
        </w:rPr>
        <w:t>118</w:t>
      </w:r>
      <w:r w:rsidRPr="001474FD">
        <w:rPr>
          <w:rFonts w:ascii="Arial" w:hAnsi="Arial" w:cs="Arial"/>
          <w:sz w:val="20"/>
          <w:lang w:val="en-US"/>
        </w:rPr>
        <w:t>: 255–67.</w:t>
      </w:r>
    </w:p>
    <w:p w14:paraId="0F144537" w14:textId="77777777" w:rsidR="001474FD" w:rsidRPr="001474FD" w:rsidRDefault="001474FD" w:rsidP="001474FD">
      <w:pPr>
        <w:widowControl w:val="0"/>
        <w:autoSpaceDE w:val="0"/>
        <w:autoSpaceDN w:val="0"/>
        <w:adjustRightInd w:val="0"/>
        <w:rPr>
          <w:rFonts w:ascii="Arial" w:hAnsi="Arial" w:cs="Arial"/>
          <w:sz w:val="20"/>
          <w:lang w:val="en-US"/>
        </w:rPr>
      </w:pPr>
      <w:r w:rsidRPr="001474FD">
        <w:rPr>
          <w:rFonts w:ascii="Arial" w:hAnsi="Arial" w:cs="Arial"/>
          <w:sz w:val="20"/>
          <w:lang w:val="en-US"/>
        </w:rPr>
        <w:t>22</w:t>
      </w:r>
      <w:r w:rsidRPr="001474FD">
        <w:rPr>
          <w:rFonts w:ascii="Arial" w:hAnsi="Arial" w:cs="Arial"/>
          <w:sz w:val="20"/>
          <w:lang w:val="en-US"/>
        </w:rPr>
        <w:tab/>
        <w:t xml:space="preserve">Jones RJ, Lee KS, Beschorner WE, </w:t>
      </w:r>
      <w:r w:rsidRPr="001474FD">
        <w:rPr>
          <w:rFonts w:ascii="Arial" w:hAnsi="Arial" w:cs="Arial"/>
          <w:i/>
          <w:iCs/>
          <w:sz w:val="20"/>
          <w:lang w:val="en-US"/>
        </w:rPr>
        <w:t>et al.</w:t>
      </w:r>
      <w:r w:rsidRPr="001474FD">
        <w:rPr>
          <w:rFonts w:ascii="Arial" w:hAnsi="Arial" w:cs="Arial"/>
          <w:sz w:val="20"/>
          <w:lang w:val="en-US"/>
        </w:rPr>
        <w:t xml:space="preserve"> Venoocclusive disease of the liver following bone marrow transplantation. </w:t>
      </w:r>
      <w:r w:rsidRPr="001474FD">
        <w:rPr>
          <w:rFonts w:ascii="Arial" w:hAnsi="Arial" w:cs="Arial"/>
          <w:i/>
          <w:iCs/>
          <w:sz w:val="20"/>
          <w:lang w:val="en-US"/>
        </w:rPr>
        <w:t>Transplantation</w:t>
      </w:r>
      <w:r w:rsidRPr="001474FD">
        <w:rPr>
          <w:rFonts w:ascii="Arial" w:hAnsi="Arial" w:cs="Arial"/>
          <w:sz w:val="20"/>
          <w:lang w:val="en-US"/>
        </w:rPr>
        <w:t xml:space="preserve"> 1987; </w:t>
      </w:r>
      <w:r w:rsidRPr="001474FD">
        <w:rPr>
          <w:rFonts w:ascii="Arial" w:hAnsi="Arial" w:cs="Arial"/>
          <w:b/>
          <w:bCs/>
          <w:sz w:val="20"/>
          <w:lang w:val="en-US"/>
        </w:rPr>
        <w:t>44</w:t>
      </w:r>
      <w:r w:rsidRPr="001474FD">
        <w:rPr>
          <w:rFonts w:ascii="Arial" w:hAnsi="Arial" w:cs="Arial"/>
          <w:sz w:val="20"/>
          <w:lang w:val="en-US"/>
        </w:rPr>
        <w:t>: 778–83.</w:t>
      </w:r>
    </w:p>
    <w:p w14:paraId="17B00395" w14:textId="77777777" w:rsidR="001474FD" w:rsidRPr="001474FD" w:rsidRDefault="001474FD" w:rsidP="001474FD">
      <w:pPr>
        <w:widowControl w:val="0"/>
        <w:autoSpaceDE w:val="0"/>
        <w:autoSpaceDN w:val="0"/>
        <w:adjustRightInd w:val="0"/>
        <w:rPr>
          <w:rFonts w:ascii="Arial" w:hAnsi="Arial" w:cs="Arial"/>
          <w:sz w:val="20"/>
          <w:lang w:val="en-US"/>
        </w:rPr>
      </w:pPr>
      <w:r w:rsidRPr="001474FD">
        <w:rPr>
          <w:rFonts w:ascii="Arial" w:hAnsi="Arial" w:cs="Arial"/>
          <w:sz w:val="20"/>
          <w:lang w:val="en-US"/>
        </w:rPr>
        <w:t>23</w:t>
      </w:r>
      <w:r w:rsidRPr="001474FD">
        <w:rPr>
          <w:rFonts w:ascii="Arial" w:hAnsi="Arial" w:cs="Arial"/>
          <w:sz w:val="20"/>
          <w:lang w:val="en-US"/>
        </w:rPr>
        <w:tab/>
        <w:t>NCI Common Terminology Criteria for Adverse Events (CTCAE) Version 4. https://ctep.cancer.gov/protocoldevelopment/electronic_applications/ctc.htm.</w:t>
      </w:r>
    </w:p>
    <w:p w14:paraId="5686323C" w14:textId="77777777" w:rsidR="001474FD" w:rsidRPr="001474FD" w:rsidRDefault="001474FD" w:rsidP="001474FD">
      <w:pPr>
        <w:widowControl w:val="0"/>
        <w:autoSpaceDE w:val="0"/>
        <w:autoSpaceDN w:val="0"/>
        <w:adjustRightInd w:val="0"/>
        <w:rPr>
          <w:rFonts w:ascii="Arial" w:hAnsi="Arial" w:cs="Arial"/>
          <w:sz w:val="20"/>
        </w:rPr>
      </w:pPr>
      <w:r w:rsidRPr="001474FD">
        <w:rPr>
          <w:rFonts w:ascii="Arial" w:hAnsi="Arial" w:cs="Arial"/>
          <w:sz w:val="20"/>
          <w:lang w:val="en-US"/>
        </w:rPr>
        <w:t>24</w:t>
      </w:r>
      <w:r w:rsidRPr="001474FD">
        <w:rPr>
          <w:rFonts w:ascii="Arial" w:hAnsi="Arial" w:cs="Arial"/>
          <w:sz w:val="20"/>
          <w:lang w:val="en-US"/>
        </w:rPr>
        <w:tab/>
        <w:t xml:space="preserve">Bossuyt PM, Reitsma JB, Bruns DE, </w:t>
      </w:r>
      <w:r w:rsidRPr="001474FD">
        <w:rPr>
          <w:rFonts w:ascii="Arial" w:hAnsi="Arial" w:cs="Arial"/>
          <w:i/>
          <w:iCs/>
          <w:sz w:val="20"/>
          <w:lang w:val="en-US"/>
        </w:rPr>
        <w:t>et al.</w:t>
      </w:r>
      <w:r w:rsidRPr="001474FD">
        <w:rPr>
          <w:rFonts w:ascii="Arial" w:hAnsi="Arial" w:cs="Arial"/>
          <w:sz w:val="20"/>
          <w:lang w:val="en-US"/>
        </w:rPr>
        <w:t xml:space="preserve"> STARD 2015: an updated list of essential items for reporting diagnostic accuracy studies. </w:t>
      </w:r>
      <w:r w:rsidRPr="001474FD">
        <w:rPr>
          <w:rFonts w:ascii="Arial" w:hAnsi="Arial" w:cs="Arial"/>
          <w:i/>
          <w:iCs/>
          <w:sz w:val="20"/>
        </w:rPr>
        <w:t>BMJ (Clinical research ed)</w:t>
      </w:r>
      <w:r w:rsidRPr="001474FD">
        <w:rPr>
          <w:rFonts w:ascii="Arial" w:hAnsi="Arial" w:cs="Arial"/>
          <w:sz w:val="20"/>
        </w:rPr>
        <w:t xml:space="preserve"> 2015; </w:t>
      </w:r>
      <w:r w:rsidRPr="001474FD">
        <w:rPr>
          <w:rFonts w:ascii="Arial" w:hAnsi="Arial" w:cs="Arial"/>
          <w:b/>
          <w:bCs/>
          <w:sz w:val="20"/>
        </w:rPr>
        <w:t>351</w:t>
      </w:r>
      <w:r w:rsidRPr="001474FD">
        <w:rPr>
          <w:rFonts w:ascii="Arial" w:hAnsi="Arial" w:cs="Arial"/>
          <w:sz w:val="20"/>
        </w:rPr>
        <w:t>: h5527.</w:t>
      </w:r>
    </w:p>
    <w:p w14:paraId="75421018" w14:textId="77777777" w:rsidR="001474FD" w:rsidRPr="001474FD" w:rsidRDefault="001474FD" w:rsidP="001474FD">
      <w:pPr>
        <w:widowControl w:val="0"/>
        <w:autoSpaceDE w:val="0"/>
        <w:autoSpaceDN w:val="0"/>
        <w:adjustRightInd w:val="0"/>
        <w:rPr>
          <w:rFonts w:ascii="Arial" w:hAnsi="Arial" w:cs="Arial"/>
          <w:sz w:val="20"/>
        </w:rPr>
      </w:pPr>
      <w:r w:rsidRPr="001474FD">
        <w:rPr>
          <w:rFonts w:ascii="Arial" w:hAnsi="Arial" w:cs="Arial"/>
          <w:sz w:val="20"/>
        </w:rPr>
        <w:t>25</w:t>
      </w:r>
      <w:r w:rsidRPr="001474FD">
        <w:rPr>
          <w:rFonts w:ascii="Arial" w:hAnsi="Arial" w:cs="Arial"/>
          <w:sz w:val="20"/>
        </w:rPr>
        <w:tab/>
        <w:t xml:space="preserve">Mulazzani L, Salvatore V, Ravaioli F, </w:t>
      </w:r>
      <w:r w:rsidRPr="001474FD">
        <w:rPr>
          <w:rFonts w:ascii="Arial" w:hAnsi="Arial" w:cs="Arial"/>
          <w:i/>
          <w:iCs/>
          <w:sz w:val="20"/>
        </w:rPr>
        <w:t>et al.</w:t>
      </w:r>
      <w:r w:rsidRPr="001474FD">
        <w:rPr>
          <w:rFonts w:ascii="Arial" w:hAnsi="Arial" w:cs="Arial"/>
          <w:sz w:val="20"/>
        </w:rPr>
        <w:t xml:space="preserve"> </w:t>
      </w:r>
      <w:r w:rsidRPr="001474FD">
        <w:rPr>
          <w:rFonts w:ascii="Arial" w:hAnsi="Arial" w:cs="Arial"/>
          <w:sz w:val="20"/>
          <w:lang w:val="en-US"/>
        </w:rPr>
        <w:t xml:space="preserve">Correction to: Point shear wave ultrasound elastography with Esaote compared to real-time 2D shear wave elastography with supersonic imagine for the quantification of liver stiffness (Journal of Ultrasound, (2017), 20, 3, (213-225), 10.1007/s40477-017-0260-7). </w:t>
      </w:r>
      <w:r w:rsidRPr="001474FD">
        <w:rPr>
          <w:rFonts w:ascii="Arial" w:hAnsi="Arial" w:cs="Arial"/>
          <w:i/>
          <w:iCs/>
          <w:sz w:val="20"/>
        </w:rPr>
        <w:t>J Ultrasound</w:t>
      </w:r>
      <w:r w:rsidRPr="001474FD">
        <w:rPr>
          <w:rFonts w:ascii="Arial" w:hAnsi="Arial" w:cs="Arial"/>
          <w:sz w:val="20"/>
        </w:rPr>
        <w:t xml:space="preserve"> 2018; </w:t>
      </w:r>
      <w:r w:rsidRPr="001474FD">
        <w:rPr>
          <w:rFonts w:ascii="Arial" w:hAnsi="Arial" w:cs="Arial"/>
          <w:b/>
          <w:bCs/>
          <w:sz w:val="20"/>
        </w:rPr>
        <w:t>21</w:t>
      </w:r>
      <w:r w:rsidRPr="001474FD">
        <w:rPr>
          <w:rFonts w:ascii="Arial" w:hAnsi="Arial" w:cs="Arial"/>
          <w:sz w:val="20"/>
        </w:rPr>
        <w:t>: 169.</w:t>
      </w:r>
    </w:p>
    <w:p w14:paraId="027062EE" w14:textId="77777777" w:rsidR="001474FD" w:rsidRPr="001474FD" w:rsidRDefault="001474FD" w:rsidP="001474FD">
      <w:pPr>
        <w:widowControl w:val="0"/>
        <w:autoSpaceDE w:val="0"/>
        <w:autoSpaceDN w:val="0"/>
        <w:adjustRightInd w:val="0"/>
        <w:rPr>
          <w:rFonts w:ascii="Arial" w:hAnsi="Arial" w:cs="Arial"/>
          <w:sz w:val="20"/>
          <w:lang w:val="en-US"/>
        </w:rPr>
      </w:pPr>
      <w:r w:rsidRPr="001474FD">
        <w:rPr>
          <w:rFonts w:ascii="Arial" w:hAnsi="Arial" w:cs="Arial"/>
          <w:sz w:val="20"/>
        </w:rPr>
        <w:t>26</w:t>
      </w:r>
      <w:r w:rsidRPr="001474FD">
        <w:rPr>
          <w:rFonts w:ascii="Arial" w:hAnsi="Arial" w:cs="Arial"/>
          <w:sz w:val="20"/>
        </w:rPr>
        <w:tab/>
        <w:t xml:space="preserve">Dietrich C, Bamber J, Berzigotti A, </w:t>
      </w:r>
      <w:r w:rsidRPr="001474FD">
        <w:rPr>
          <w:rFonts w:ascii="Arial" w:hAnsi="Arial" w:cs="Arial"/>
          <w:i/>
          <w:iCs/>
          <w:sz w:val="20"/>
        </w:rPr>
        <w:t>et al.</w:t>
      </w:r>
      <w:r w:rsidRPr="001474FD">
        <w:rPr>
          <w:rFonts w:ascii="Arial" w:hAnsi="Arial" w:cs="Arial"/>
          <w:sz w:val="20"/>
        </w:rPr>
        <w:t xml:space="preserve"> </w:t>
      </w:r>
      <w:r w:rsidRPr="001474FD">
        <w:rPr>
          <w:rFonts w:ascii="Arial" w:hAnsi="Arial" w:cs="Arial"/>
          <w:sz w:val="20"/>
          <w:lang w:val="en-US"/>
        </w:rPr>
        <w:t xml:space="preserve">EFSUMB Guidelines and Recommendations on the Clinical Use of Liver Ultrasound Elastography, Update 2017 (Long Version). </w:t>
      </w:r>
      <w:r w:rsidRPr="001474FD">
        <w:rPr>
          <w:rFonts w:ascii="Arial" w:hAnsi="Arial" w:cs="Arial"/>
          <w:i/>
          <w:iCs/>
          <w:sz w:val="20"/>
          <w:lang w:val="en-US"/>
        </w:rPr>
        <w:t>Ultraschall in der Medizin - European Journal of Ultrasound</w:t>
      </w:r>
      <w:r w:rsidRPr="001474FD">
        <w:rPr>
          <w:rFonts w:ascii="Arial" w:hAnsi="Arial" w:cs="Arial"/>
          <w:sz w:val="20"/>
          <w:lang w:val="en-US"/>
        </w:rPr>
        <w:t xml:space="preserve"> 2017; published online April. DOI:10.1055/s-0043-103952.</w:t>
      </w:r>
    </w:p>
    <w:p w14:paraId="2C9001D4" w14:textId="77777777" w:rsidR="001474FD" w:rsidRPr="001474FD" w:rsidRDefault="001474FD" w:rsidP="001474FD">
      <w:pPr>
        <w:widowControl w:val="0"/>
        <w:autoSpaceDE w:val="0"/>
        <w:autoSpaceDN w:val="0"/>
        <w:adjustRightInd w:val="0"/>
        <w:rPr>
          <w:rFonts w:ascii="Arial" w:hAnsi="Arial" w:cs="Arial"/>
          <w:sz w:val="20"/>
          <w:lang w:val="en-US"/>
        </w:rPr>
      </w:pPr>
      <w:r w:rsidRPr="001474FD">
        <w:rPr>
          <w:rFonts w:ascii="Arial" w:hAnsi="Arial" w:cs="Arial"/>
          <w:sz w:val="20"/>
          <w:lang w:val="en-US"/>
        </w:rPr>
        <w:t>27</w:t>
      </w:r>
      <w:r w:rsidRPr="001474FD">
        <w:rPr>
          <w:rFonts w:ascii="Arial" w:hAnsi="Arial" w:cs="Arial"/>
          <w:sz w:val="20"/>
          <w:lang w:val="en-US"/>
        </w:rPr>
        <w:tab/>
        <w:t xml:space="preserve">Harris PA, Taylor R, Minor BL, </w:t>
      </w:r>
      <w:r w:rsidRPr="001474FD">
        <w:rPr>
          <w:rFonts w:ascii="Arial" w:hAnsi="Arial" w:cs="Arial"/>
          <w:i/>
          <w:iCs/>
          <w:sz w:val="20"/>
          <w:lang w:val="en-US"/>
        </w:rPr>
        <w:t>et al.</w:t>
      </w:r>
      <w:r w:rsidRPr="001474FD">
        <w:rPr>
          <w:rFonts w:ascii="Arial" w:hAnsi="Arial" w:cs="Arial"/>
          <w:sz w:val="20"/>
          <w:lang w:val="en-US"/>
        </w:rPr>
        <w:t xml:space="preserve"> The REDCap consortium: Building an international community of software platform partners. </w:t>
      </w:r>
      <w:r w:rsidRPr="001474FD">
        <w:rPr>
          <w:rFonts w:ascii="Arial" w:hAnsi="Arial" w:cs="Arial"/>
          <w:i/>
          <w:iCs/>
          <w:sz w:val="20"/>
          <w:lang w:val="en-US"/>
        </w:rPr>
        <w:t>Journal of Biomedical Informatics</w:t>
      </w:r>
      <w:r w:rsidRPr="001474FD">
        <w:rPr>
          <w:rFonts w:ascii="Arial" w:hAnsi="Arial" w:cs="Arial"/>
          <w:sz w:val="20"/>
          <w:lang w:val="en-US"/>
        </w:rPr>
        <w:t xml:space="preserve"> 2019; </w:t>
      </w:r>
      <w:r w:rsidRPr="001474FD">
        <w:rPr>
          <w:rFonts w:ascii="Arial" w:hAnsi="Arial" w:cs="Arial"/>
          <w:b/>
          <w:bCs/>
          <w:sz w:val="20"/>
          <w:lang w:val="en-US"/>
        </w:rPr>
        <w:t>95</w:t>
      </w:r>
      <w:r w:rsidRPr="001474FD">
        <w:rPr>
          <w:rFonts w:ascii="Arial" w:hAnsi="Arial" w:cs="Arial"/>
          <w:sz w:val="20"/>
          <w:lang w:val="en-US"/>
        </w:rPr>
        <w:t>: 103208.</w:t>
      </w:r>
    </w:p>
    <w:p w14:paraId="2BA2F2CB" w14:textId="77777777" w:rsidR="001474FD" w:rsidRPr="001474FD" w:rsidRDefault="001474FD" w:rsidP="001474FD">
      <w:pPr>
        <w:widowControl w:val="0"/>
        <w:autoSpaceDE w:val="0"/>
        <w:autoSpaceDN w:val="0"/>
        <w:adjustRightInd w:val="0"/>
        <w:rPr>
          <w:rFonts w:ascii="Arial" w:hAnsi="Arial" w:cs="Arial"/>
          <w:sz w:val="20"/>
          <w:lang w:val="en-US"/>
        </w:rPr>
      </w:pPr>
      <w:r w:rsidRPr="001474FD">
        <w:rPr>
          <w:rFonts w:ascii="Arial" w:hAnsi="Arial" w:cs="Arial"/>
          <w:sz w:val="20"/>
          <w:lang w:val="en-US"/>
        </w:rPr>
        <w:t>28</w:t>
      </w:r>
      <w:r w:rsidRPr="001474FD">
        <w:rPr>
          <w:rFonts w:ascii="Arial" w:hAnsi="Arial" w:cs="Arial"/>
          <w:sz w:val="20"/>
          <w:lang w:val="en-US"/>
        </w:rPr>
        <w:tab/>
        <w:t xml:space="preserve">Mohty M, Blaise D, Peffault De Latour R, </w:t>
      </w:r>
      <w:r w:rsidRPr="001474FD">
        <w:rPr>
          <w:rFonts w:ascii="Arial" w:hAnsi="Arial" w:cs="Arial"/>
          <w:i/>
          <w:iCs/>
          <w:sz w:val="20"/>
          <w:lang w:val="en-US"/>
        </w:rPr>
        <w:t>et al.</w:t>
      </w:r>
      <w:r w:rsidRPr="001474FD">
        <w:rPr>
          <w:rFonts w:ascii="Arial" w:hAnsi="Arial" w:cs="Arial"/>
          <w:sz w:val="20"/>
          <w:lang w:val="en-US"/>
        </w:rPr>
        <w:t xml:space="preserve"> Real-world use of defibrotide for veno-occlusive disease/sinusoidal obstruction syndrome: the DEFIFrance Registry Study. </w:t>
      </w:r>
      <w:r w:rsidRPr="001474FD">
        <w:rPr>
          <w:rFonts w:ascii="Arial" w:hAnsi="Arial" w:cs="Arial"/>
          <w:i/>
          <w:iCs/>
          <w:sz w:val="20"/>
          <w:lang w:val="en-US"/>
        </w:rPr>
        <w:t>Bone Marrow Transplant</w:t>
      </w:r>
      <w:r w:rsidRPr="001474FD">
        <w:rPr>
          <w:rFonts w:ascii="Arial" w:hAnsi="Arial" w:cs="Arial"/>
          <w:sz w:val="20"/>
          <w:lang w:val="en-US"/>
        </w:rPr>
        <w:t xml:space="preserve"> 2023; </w:t>
      </w:r>
      <w:r w:rsidRPr="001474FD">
        <w:rPr>
          <w:rFonts w:ascii="Arial" w:hAnsi="Arial" w:cs="Arial"/>
          <w:b/>
          <w:bCs/>
          <w:sz w:val="20"/>
          <w:lang w:val="en-US"/>
        </w:rPr>
        <w:t>58</w:t>
      </w:r>
      <w:r w:rsidRPr="001474FD">
        <w:rPr>
          <w:rFonts w:ascii="Arial" w:hAnsi="Arial" w:cs="Arial"/>
          <w:sz w:val="20"/>
          <w:lang w:val="en-US"/>
        </w:rPr>
        <w:t>: 367–76.</w:t>
      </w:r>
    </w:p>
    <w:p w14:paraId="254918E2" w14:textId="77777777" w:rsidR="001474FD" w:rsidRPr="001474FD" w:rsidRDefault="001474FD" w:rsidP="001474FD">
      <w:pPr>
        <w:widowControl w:val="0"/>
        <w:autoSpaceDE w:val="0"/>
        <w:autoSpaceDN w:val="0"/>
        <w:adjustRightInd w:val="0"/>
        <w:rPr>
          <w:rFonts w:ascii="Arial" w:hAnsi="Arial" w:cs="Arial"/>
          <w:sz w:val="20"/>
          <w:lang w:val="en-US"/>
        </w:rPr>
      </w:pPr>
      <w:r w:rsidRPr="001474FD">
        <w:rPr>
          <w:rFonts w:ascii="Arial" w:hAnsi="Arial" w:cs="Arial"/>
          <w:sz w:val="20"/>
          <w:lang w:val="en-US"/>
        </w:rPr>
        <w:t>29</w:t>
      </w:r>
      <w:r w:rsidRPr="001474FD">
        <w:rPr>
          <w:rFonts w:ascii="Arial" w:hAnsi="Arial" w:cs="Arial"/>
          <w:sz w:val="20"/>
          <w:lang w:val="en-US"/>
        </w:rPr>
        <w:tab/>
        <w:t xml:space="preserve">Ruutu T, Peczynski C, Houhou M, </w:t>
      </w:r>
      <w:r w:rsidRPr="001474FD">
        <w:rPr>
          <w:rFonts w:ascii="Arial" w:hAnsi="Arial" w:cs="Arial"/>
          <w:i/>
          <w:iCs/>
          <w:sz w:val="20"/>
          <w:lang w:val="en-US"/>
        </w:rPr>
        <w:t>et al.</w:t>
      </w:r>
      <w:r w:rsidRPr="001474FD">
        <w:rPr>
          <w:rFonts w:ascii="Arial" w:hAnsi="Arial" w:cs="Arial"/>
          <w:sz w:val="20"/>
          <w:lang w:val="en-US"/>
        </w:rPr>
        <w:t xml:space="preserve"> Current incidence, severity, and management of veno-occlusive disease/sinusoidal obstruction syndrome in adult allogeneic HSCT recipients: an EBMT Transplant Complications Working Party study. </w:t>
      </w:r>
      <w:r w:rsidRPr="001474FD">
        <w:rPr>
          <w:rFonts w:ascii="Arial" w:hAnsi="Arial" w:cs="Arial"/>
          <w:i/>
          <w:iCs/>
          <w:sz w:val="20"/>
          <w:lang w:val="en-US"/>
        </w:rPr>
        <w:t>Bone Marrow Transplant</w:t>
      </w:r>
      <w:r w:rsidRPr="001474FD">
        <w:rPr>
          <w:rFonts w:ascii="Arial" w:hAnsi="Arial" w:cs="Arial"/>
          <w:sz w:val="20"/>
          <w:lang w:val="en-US"/>
        </w:rPr>
        <w:t xml:space="preserve"> 2023; </w:t>
      </w:r>
      <w:r w:rsidRPr="001474FD">
        <w:rPr>
          <w:rFonts w:ascii="Arial" w:hAnsi="Arial" w:cs="Arial"/>
          <w:b/>
          <w:bCs/>
          <w:sz w:val="20"/>
          <w:lang w:val="en-US"/>
        </w:rPr>
        <w:t>58</w:t>
      </w:r>
      <w:r w:rsidRPr="001474FD">
        <w:rPr>
          <w:rFonts w:ascii="Arial" w:hAnsi="Arial" w:cs="Arial"/>
          <w:sz w:val="20"/>
          <w:lang w:val="en-US"/>
        </w:rPr>
        <w:t>: 1209–14.</w:t>
      </w:r>
    </w:p>
    <w:p w14:paraId="004C665B" w14:textId="77777777" w:rsidR="001474FD" w:rsidRPr="001474FD" w:rsidRDefault="001474FD" w:rsidP="001474FD">
      <w:pPr>
        <w:widowControl w:val="0"/>
        <w:autoSpaceDE w:val="0"/>
        <w:autoSpaceDN w:val="0"/>
        <w:adjustRightInd w:val="0"/>
        <w:rPr>
          <w:rFonts w:ascii="Arial" w:hAnsi="Arial" w:cs="Arial"/>
          <w:sz w:val="20"/>
          <w:lang w:val="en-US"/>
        </w:rPr>
      </w:pPr>
      <w:r w:rsidRPr="001474FD">
        <w:rPr>
          <w:rFonts w:ascii="Arial" w:hAnsi="Arial" w:cs="Arial"/>
          <w:sz w:val="20"/>
          <w:lang w:val="en-US"/>
        </w:rPr>
        <w:t>30</w:t>
      </w:r>
      <w:r w:rsidRPr="001474FD">
        <w:rPr>
          <w:rFonts w:ascii="Arial" w:hAnsi="Arial" w:cs="Arial"/>
          <w:sz w:val="20"/>
          <w:lang w:val="en-US"/>
        </w:rPr>
        <w:tab/>
        <w:t xml:space="preserve">Richardson PG, Smith AR, Triplett BM, </w:t>
      </w:r>
      <w:r w:rsidRPr="001474FD">
        <w:rPr>
          <w:rFonts w:ascii="Arial" w:hAnsi="Arial" w:cs="Arial"/>
          <w:i/>
          <w:iCs/>
          <w:sz w:val="20"/>
          <w:lang w:val="en-US"/>
        </w:rPr>
        <w:t>et al.</w:t>
      </w:r>
      <w:r w:rsidRPr="001474FD">
        <w:rPr>
          <w:rFonts w:ascii="Arial" w:hAnsi="Arial" w:cs="Arial"/>
          <w:sz w:val="20"/>
          <w:lang w:val="en-US"/>
        </w:rPr>
        <w:t xml:space="preserve"> Earlier defibrotide initiation post-diagnosis of veno-occlusive disease/sinusoidal obstruction syndrome improves Day +100 survival following haematopoietic stem cell transplantation. </w:t>
      </w:r>
      <w:r w:rsidRPr="001474FD">
        <w:rPr>
          <w:rFonts w:ascii="Arial" w:hAnsi="Arial" w:cs="Arial"/>
          <w:i/>
          <w:iCs/>
          <w:sz w:val="20"/>
          <w:lang w:val="en-US"/>
        </w:rPr>
        <w:t>British journal of haematology</w:t>
      </w:r>
      <w:r w:rsidRPr="001474FD">
        <w:rPr>
          <w:rFonts w:ascii="Arial" w:hAnsi="Arial" w:cs="Arial"/>
          <w:sz w:val="20"/>
          <w:lang w:val="en-US"/>
        </w:rPr>
        <w:t xml:space="preserve"> 2017; published online April. DOI:10.1111/bjh.14727.</w:t>
      </w:r>
    </w:p>
    <w:p w14:paraId="0DFF52C8" w14:textId="77777777" w:rsidR="001474FD" w:rsidRPr="001474FD" w:rsidRDefault="001474FD" w:rsidP="001474FD">
      <w:pPr>
        <w:widowControl w:val="0"/>
        <w:autoSpaceDE w:val="0"/>
        <w:autoSpaceDN w:val="0"/>
        <w:adjustRightInd w:val="0"/>
        <w:rPr>
          <w:rFonts w:ascii="Arial" w:hAnsi="Arial" w:cs="Arial"/>
          <w:sz w:val="20"/>
          <w:lang w:val="en-US"/>
        </w:rPr>
      </w:pPr>
      <w:r w:rsidRPr="001474FD">
        <w:rPr>
          <w:rFonts w:ascii="Arial" w:hAnsi="Arial" w:cs="Arial"/>
          <w:sz w:val="20"/>
        </w:rPr>
        <w:t>31</w:t>
      </w:r>
      <w:r w:rsidRPr="001474FD">
        <w:rPr>
          <w:rFonts w:ascii="Arial" w:hAnsi="Arial" w:cs="Arial"/>
          <w:sz w:val="20"/>
        </w:rPr>
        <w:tab/>
        <w:t xml:space="preserve">Colecchia A, Ravaioli F, Sessa M, </w:t>
      </w:r>
      <w:r w:rsidRPr="001474FD">
        <w:rPr>
          <w:rFonts w:ascii="Arial" w:hAnsi="Arial" w:cs="Arial"/>
          <w:i/>
          <w:iCs/>
          <w:sz w:val="20"/>
        </w:rPr>
        <w:t>et al.</w:t>
      </w:r>
      <w:r w:rsidRPr="001474FD">
        <w:rPr>
          <w:rFonts w:ascii="Arial" w:hAnsi="Arial" w:cs="Arial"/>
          <w:sz w:val="20"/>
        </w:rPr>
        <w:t xml:space="preserve"> </w:t>
      </w:r>
      <w:r w:rsidRPr="001474FD">
        <w:rPr>
          <w:rFonts w:ascii="Arial" w:hAnsi="Arial" w:cs="Arial"/>
          <w:sz w:val="20"/>
          <w:lang w:val="en-US"/>
        </w:rPr>
        <w:t xml:space="preserve">Liver Stiffness Measurement Allows Early Diagnosis of Veno-Occlusive Disease/Sinusoidal Obstruction Syndrome in Adult Patients Who Undergo Hematopoietic Stem Cell Transplantation: Results from a Monocentric Prospective Study. </w:t>
      </w:r>
      <w:r w:rsidRPr="001474FD">
        <w:rPr>
          <w:rFonts w:ascii="Arial" w:hAnsi="Arial" w:cs="Arial"/>
          <w:i/>
          <w:iCs/>
          <w:sz w:val="20"/>
          <w:lang w:val="en-US"/>
        </w:rPr>
        <w:t>Biology of Blood and Marrow Transplantation</w:t>
      </w:r>
      <w:r w:rsidRPr="001474FD">
        <w:rPr>
          <w:rFonts w:ascii="Arial" w:hAnsi="Arial" w:cs="Arial"/>
          <w:sz w:val="20"/>
          <w:lang w:val="en-US"/>
        </w:rPr>
        <w:t xml:space="preserve"> 2019; </w:t>
      </w:r>
      <w:r w:rsidRPr="001474FD">
        <w:rPr>
          <w:rFonts w:ascii="Arial" w:hAnsi="Arial" w:cs="Arial"/>
          <w:b/>
          <w:bCs/>
          <w:sz w:val="20"/>
          <w:lang w:val="en-US"/>
        </w:rPr>
        <w:t>25</w:t>
      </w:r>
      <w:r w:rsidRPr="001474FD">
        <w:rPr>
          <w:rFonts w:ascii="Arial" w:hAnsi="Arial" w:cs="Arial"/>
          <w:sz w:val="20"/>
          <w:lang w:val="en-US"/>
        </w:rPr>
        <w:t>: 995–1003.</w:t>
      </w:r>
    </w:p>
    <w:p w14:paraId="17176C19" w14:textId="77777777" w:rsidR="001474FD" w:rsidRPr="001474FD" w:rsidRDefault="001474FD" w:rsidP="001474FD">
      <w:pPr>
        <w:widowControl w:val="0"/>
        <w:autoSpaceDE w:val="0"/>
        <w:autoSpaceDN w:val="0"/>
        <w:adjustRightInd w:val="0"/>
        <w:rPr>
          <w:rFonts w:ascii="Arial" w:hAnsi="Arial" w:cs="Arial"/>
          <w:sz w:val="20"/>
          <w:lang w:val="en-US"/>
        </w:rPr>
      </w:pPr>
      <w:r w:rsidRPr="001474FD">
        <w:rPr>
          <w:rFonts w:ascii="Arial" w:hAnsi="Arial" w:cs="Arial"/>
          <w:sz w:val="20"/>
          <w:lang w:val="en-US"/>
        </w:rPr>
        <w:t>32</w:t>
      </w:r>
      <w:r w:rsidRPr="001474FD">
        <w:rPr>
          <w:rFonts w:ascii="Arial" w:hAnsi="Arial" w:cs="Arial"/>
          <w:sz w:val="20"/>
          <w:lang w:val="en-US"/>
        </w:rPr>
        <w:tab/>
        <w:t xml:space="preserve">Colecchia A, Marasco G, Ravaioli F, </w:t>
      </w:r>
      <w:r w:rsidRPr="001474FD">
        <w:rPr>
          <w:rFonts w:ascii="Arial" w:hAnsi="Arial" w:cs="Arial"/>
          <w:i/>
          <w:iCs/>
          <w:sz w:val="20"/>
          <w:lang w:val="en-US"/>
        </w:rPr>
        <w:t>et al.</w:t>
      </w:r>
      <w:r w:rsidRPr="001474FD">
        <w:rPr>
          <w:rFonts w:ascii="Arial" w:hAnsi="Arial" w:cs="Arial"/>
          <w:sz w:val="20"/>
          <w:lang w:val="en-US"/>
        </w:rPr>
        <w:t xml:space="preserve"> Usefulness of liver stiffness measurement in predicting hepatic veno-occlusive disease development in patients who undergo HSCT. </w:t>
      </w:r>
      <w:r w:rsidRPr="001474FD">
        <w:rPr>
          <w:rFonts w:ascii="Arial" w:hAnsi="Arial" w:cs="Arial"/>
          <w:i/>
          <w:iCs/>
          <w:sz w:val="20"/>
          <w:lang w:val="en-US"/>
        </w:rPr>
        <w:t>Bone Marrow Transplantation</w:t>
      </w:r>
      <w:r w:rsidRPr="001474FD">
        <w:rPr>
          <w:rFonts w:ascii="Arial" w:hAnsi="Arial" w:cs="Arial"/>
          <w:sz w:val="20"/>
          <w:lang w:val="en-US"/>
        </w:rPr>
        <w:t xml:space="preserve"> 2017; </w:t>
      </w:r>
      <w:r w:rsidRPr="001474FD">
        <w:rPr>
          <w:rFonts w:ascii="Arial" w:hAnsi="Arial" w:cs="Arial"/>
          <w:b/>
          <w:bCs/>
          <w:sz w:val="20"/>
          <w:lang w:val="en-US"/>
        </w:rPr>
        <w:t>52</w:t>
      </w:r>
      <w:r w:rsidRPr="001474FD">
        <w:rPr>
          <w:rFonts w:ascii="Arial" w:hAnsi="Arial" w:cs="Arial"/>
          <w:sz w:val="20"/>
          <w:lang w:val="en-US"/>
        </w:rPr>
        <w:t>: 494–7.</w:t>
      </w:r>
    </w:p>
    <w:p w14:paraId="789AA7B8" w14:textId="77777777" w:rsidR="001474FD" w:rsidRPr="001474FD" w:rsidRDefault="001474FD" w:rsidP="001474FD">
      <w:pPr>
        <w:widowControl w:val="0"/>
        <w:autoSpaceDE w:val="0"/>
        <w:autoSpaceDN w:val="0"/>
        <w:adjustRightInd w:val="0"/>
        <w:rPr>
          <w:rFonts w:ascii="Arial" w:hAnsi="Arial" w:cs="Arial"/>
          <w:sz w:val="20"/>
          <w:lang w:val="en-US"/>
        </w:rPr>
      </w:pPr>
      <w:r w:rsidRPr="001474FD">
        <w:rPr>
          <w:rFonts w:ascii="Arial" w:hAnsi="Arial" w:cs="Arial"/>
          <w:sz w:val="20"/>
        </w:rPr>
        <w:t>33</w:t>
      </w:r>
      <w:r w:rsidRPr="001474FD">
        <w:rPr>
          <w:rFonts w:ascii="Arial" w:hAnsi="Arial" w:cs="Arial"/>
          <w:sz w:val="20"/>
        </w:rPr>
        <w:tab/>
        <w:t xml:space="preserve">Zama D, Bossù G, Ravaioli F, </w:t>
      </w:r>
      <w:r w:rsidRPr="001474FD">
        <w:rPr>
          <w:rFonts w:ascii="Arial" w:hAnsi="Arial" w:cs="Arial"/>
          <w:i/>
          <w:iCs/>
          <w:sz w:val="20"/>
        </w:rPr>
        <w:t>et al.</w:t>
      </w:r>
      <w:r w:rsidRPr="001474FD">
        <w:rPr>
          <w:rFonts w:ascii="Arial" w:hAnsi="Arial" w:cs="Arial"/>
          <w:sz w:val="20"/>
        </w:rPr>
        <w:t xml:space="preserve"> </w:t>
      </w:r>
      <w:r w:rsidRPr="001474FD">
        <w:rPr>
          <w:rFonts w:ascii="Arial" w:hAnsi="Arial" w:cs="Arial"/>
          <w:sz w:val="20"/>
          <w:lang w:val="en-US"/>
        </w:rPr>
        <w:t xml:space="preserve">Longitudinal evaluation of liver stiffness in three pediatric patients with veno-occlusive disease. </w:t>
      </w:r>
      <w:r w:rsidRPr="001474FD">
        <w:rPr>
          <w:rFonts w:ascii="Arial" w:hAnsi="Arial" w:cs="Arial"/>
          <w:i/>
          <w:iCs/>
          <w:sz w:val="20"/>
          <w:lang w:val="en-US"/>
        </w:rPr>
        <w:t>Pediatric Transplantation</w:t>
      </w:r>
      <w:r w:rsidRPr="001474FD">
        <w:rPr>
          <w:rFonts w:ascii="Arial" w:hAnsi="Arial" w:cs="Arial"/>
          <w:sz w:val="20"/>
          <w:lang w:val="en-US"/>
        </w:rPr>
        <w:t xml:space="preserve"> 2019; </w:t>
      </w:r>
      <w:r w:rsidRPr="001474FD">
        <w:rPr>
          <w:rFonts w:ascii="Arial" w:hAnsi="Arial" w:cs="Arial"/>
          <w:b/>
          <w:bCs/>
          <w:sz w:val="20"/>
          <w:lang w:val="en-US"/>
        </w:rPr>
        <w:t>23</w:t>
      </w:r>
      <w:r w:rsidRPr="001474FD">
        <w:rPr>
          <w:rFonts w:ascii="Arial" w:hAnsi="Arial" w:cs="Arial"/>
          <w:sz w:val="20"/>
          <w:lang w:val="en-US"/>
        </w:rPr>
        <w:t>: e13456.</w:t>
      </w:r>
    </w:p>
    <w:p w14:paraId="6021296C" w14:textId="77777777" w:rsidR="001474FD" w:rsidRPr="001474FD" w:rsidRDefault="001474FD" w:rsidP="001474FD">
      <w:pPr>
        <w:widowControl w:val="0"/>
        <w:autoSpaceDE w:val="0"/>
        <w:autoSpaceDN w:val="0"/>
        <w:adjustRightInd w:val="0"/>
        <w:rPr>
          <w:rFonts w:ascii="Arial" w:hAnsi="Arial" w:cs="Arial"/>
          <w:sz w:val="20"/>
          <w:lang w:val="en-US"/>
        </w:rPr>
      </w:pPr>
      <w:r w:rsidRPr="001474FD">
        <w:rPr>
          <w:rFonts w:ascii="Arial" w:hAnsi="Arial" w:cs="Arial"/>
          <w:sz w:val="20"/>
          <w:lang w:val="en-US"/>
        </w:rPr>
        <w:t>34</w:t>
      </w:r>
      <w:r w:rsidRPr="001474FD">
        <w:rPr>
          <w:rFonts w:ascii="Arial" w:hAnsi="Arial" w:cs="Arial"/>
          <w:sz w:val="20"/>
          <w:lang w:val="en-US"/>
        </w:rPr>
        <w:tab/>
        <w:t xml:space="preserve">Pierre-Edouard Debureaux, Pierre Bourrier, Pierre-Emmanuel Rautou, </w:t>
      </w:r>
      <w:r w:rsidRPr="001474FD">
        <w:rPr>
          <w:rFonts w:ascii="Arial" w:hAnsi="Arial" w:cs="Arial"/>
          <w:i/>
          <w:iCs/>
          <w:sz w:val="20"/>
          <w:lang w:val="en-US"/>
        </w:rPr>
        <w:t>et al.</w:t>
      </w:r>
      <w:r w:rsidRPr="001474FD">
        <w:rPr>
          <w:rFonts w:ascii="Arial" w:hAnsi="Arial" w:cs="Arial"/>
          <w:sz w:val="20"/>
          <w:lang w:val="en-US"/>
        </w:rPr>
        <w:t xml:space="preserve"> Elastography improves accuracy of early hepato-biliary complications diagnosis after allogeneic stem cell transplantation. </w:t>
      </w:r>
      <w:r w:rsidRPr="001474FD">
        <w:rPr>
          <w:rFonts w:ascii="Arial" w:hAnsi="Arial" w:cs="Arial"/>
          <w:i/>
          <w:iCs/>
          <w:sz w:val="20"/>
          <w:lang w:val="en-US"/>
        </w:rPr>
        <w:t>haematol</w:t>
      </w:r>
      <w:r w:rsidRPr="001474FD">
        <w:rPr>
          <w:rFonts w:ascii="Arial" w:hAnsi="Arial" w:cs="Arial"/>
          <w:sz w:val="20"/>
          <w:lang w:val="en-US"/>
        </w:rPr>
        <w:t xml:space="preserve"> 2020; </w:t>
      </w:r>
      <w:r w:rsidRPr="001474FD">
        <w:rPr>
          <w:rFonts w:ascii="Arial" w:hAnsi="Arial" w:cs="Arial"/>
          <w:b/>
          <w:bCs/>
          <w:sz w:val="20"/>
          <w:lang w:val="en-US"/>
        </w:rPr>
        <w:t>106</w:t>
      </w:r>
      <w:r w:rsidRPr="001474FD">
        <w:rPr>
          <w:rFonts w:ascii="Arial" w:hAnsi="Arial" w:cs="Arial"/>
          <w:sz w:val="20"/>
          <w:lang w:val="en-US"/>
        </w:rPr>
        <w:t>: 2374–83.</w:t>
      </w:r>
    </w:p>
    <w:p w14:paraId="733EEFB8" w14:textId="77777777" w:rsidR="001474FD" w:rsidRPr="001474FD" w:rsidRDefault="001474FD" w:rsidP="001474FD">
      <w:pPr>
        <w:widowControl w:val="0"/>
        <w:autoSpaceDE w:val="0"/>
        <w:autoSpaceDN w:val="0"/>
        <w:adjustRightInd w:val="0"/>
        <w:rPr>
          <w:rFonts w:ascii="Arial" w:hAnsi="Arial" w:cs="Arial"/>
          <w:sz w:val="20"/>
        </w:rPr>
      </w:pPr>
      <w:r w:rsidRPr="001474FD">
        <w:rPr>
          <w:rFonts w:ascii="Arial" w:hAnsi="Arial" w:cs="Arial"/>
          <w:sz w:val="20"/>
        </w:rPr>
        <w:t>35</w:t>
      </w:r>
      <w:r w:rsidRPr="001474FD">
        <w:rPr>
          <w:rFonts w:ascii="Arial" w:hAnsi="Arial" w:cs="Arial"/>
          <w:sz w:val="20"/>
        </w:rPr>
        <w:tab/>
        <w:t xml:space="preserve">Cañas T, Suárez O, Rozas I, </w:t>
      </w:r>
      <w:r w:rsidRPr="001474FD">
        <w:rPr>
          <w:rFonts w:ascii="Arial" w:hAnsi="Arial" w:cs="Arial"/>
          <w:i/>
          <w:iCs/>
          <w:sz w:val="20"/>
        </w:rPr>
        <w:t>et al.</w:t>
      </w:r>
      <w:r w:rsidRPr="001474FD">
        <w:rPr>
          <w:rFonts w:ascii="Arial" w:hAnsi="Arial" w:cs="Arial"/>
          <w:sz w:val="20"/>
        </w:rPr>
        <w:t xml:space="preserve"> </w:t>
      </w:r>
      <w:r w:rsidRPr="001474FD">
        <w:rPr>
          <w:rFonts w:ascii="Arial" w:hAnsi="Arial" w:cs="Arial"/>
          <w:sz w:val="20"/>
          <w:lang w:val="en-US"/>
        </w:rPr>
        <w:t xml:space="preserve">Point shear-wave elastography for the diagnosis of veno-occlusive disease in children and young adults. </w:t>
      </w:r>
      <w:r w:rsidRPr="001474FD">
        <w:rPr>
          <w:rFonts w:ascii="Arial" w:hAnsi="Arial" w:cs="Arial"/>
          <w:i/>
          <w:iCs/>
          <w:sz w:val="20"/>
        </w:rPr>
        <w:t>Pediatr Radiol</w:t>
      </w:r>
      <w:r w:rsidRPr="001474FD">
        <w:rPr>
          <w:rFonts w:ascii="Arial" w:hAnsi="Arial" w:cs="Arial"/>
          <w:sz w:val="20"/>
        </w:rPr>
        <w:t xml:space="preserve"> 2023; </w:t>
      </w:r>
      <w:r w:rsidRPr="001474FD">
        <w:rPr>
          <w:rFonts w:ascii="Arial" w:hAnsi="Arial" w:cs="Arial"/>
          <w:b/>
          <w:bCs/>
          <w:sz w:val="20"/>
        </w:rPr>
        <w:t>53</w:t>
      </w:r>
      <w:r w:rsidRPr="001474FD">
        <w:rPr>
          <w:rFonts w:ascii="Arial" w:hAnsi="Arial" w:cs="Arial"/>
          <w:sz w:val="20"/>
        </w:rPr>
        <w:t>: 2013–20.</w:t>
      </w:r>
    </w:p>
    <w:p w14:paraId="507F5DBA" w14:textId="77777777" w:rsidR="001474FD" w:rsidRPr="001474FD" w:rsidRDefault="001474FD" w:rsidP="001474FD">
      <w:pPr>
        <w:widowControl w:val="0"/>
        <w:autoSpaceDE w:val="0"/>
        <w:autoSpaceDN w:val="0"/>
        <w:adjustRightInd w:val="0"/>
        <w:rPr>
          <w:rFonts w:ascii="Arial" w:hAnsi="Arial" w:cs="Arial"/>
          <w:sz w:val="20"/>
          <w:lang w:val="en-US"/>
        </w:rPr>
      </w:pPr>
      <w:r w:rsidRPr="001474FD">
        <w:rPr>
          <w:rFonts w:ascii="Arial" w:hAnsi="Arial" w:cs="Arial"/>
          <w:sz w:val="20"/>
        </w:rPr>
        <w:t>36</w:t>
      </w:r>
      <w:r w:rsidRPr="001474FD">
        <w:rPr>
          <w:rFonts w:ascii="Arial" w:hAnsi="Arial" w:cs="Arial"/>
          <w:sz w:val="20"/>
        </w:rPr>
        <w:tab/>
        <w:t xml:space="preserve">Reddivalla N, Robinson AL, Reid KJ, </w:t>
      </w:r>
      <w:r w:rsidRPr="001474FD">
        <w:rPr>
          <w:rFonts w:ascii="Arial" w:hAnsi="Arial" w:cs="Arial"/>
          <w:i/>
          <w:iCs/>
          <w:sz w:val="20"/>
        </w:rPr>
        <w:t>et al.</w:t>
      </w:r>
      <w:r w:rsidRPr="001474FD">
        <w:rPr>
          <w:rFonts w:ascii="Arial" w:hAnsi="Arial" w:cs="Arial"/>
          <w:sz w:val="20"/>
        </w:rPr>
        <w:t xml:space="preserve"> </w:t>
      </w:r>
      <w:r w:rsidRPr="001474FD">
        <w:rPr>
          <w:rFonts w:ascii="Arial" w:hAnsi="Arial" w:cs="Arial"/>
          <w:sz w:val="20"/>
          <w:lang w:val="en-US"/>
        </w:rPr>
        <w:t xml:space="preserve">Using liver elastography to diagnose sinusoidal obstruction syndrome in pediatric patients undergoing hematopoetic stem cell transplant. </w:t>
      </w:r>
      <w:r w:rsidRPr="001474FD">
        <w:rPr>
          <w:rFonts w:ascii="Arial" w:hAnsi="Arial" w:cs="Arial"/>
          <w:i/>
          <w:iCs/>
          <w:sz w:val="20"/>
          <w:lang w:val="en-US"/>
        </w:rPr>
        <w:t>Bone Marrow Transplantation</w:t>
      </w:r>
      <w:r w:rsidRPr="001474FD">
        <w:rPr>
          <w:rFonts w:ascii="Arial" w:hAnsi="Arial" w:cs="Arial"/>
          <w:sz w:val="20"/>
          <w:lang w:val="en-US"/>
        </w:rPr>
        <w:t xml:space="preserve"> 2020; </w:t>
      </w:r>
      <w:r w:rsidRPr="001474FD">
        <w:rPr>
          <w:rFonts w:ascii="Arial" w:hAnsi="Arial" w:cs="Arial"/>
          <w:b/>
          <w:bCs/>
          <w:sz w:val="20"/>
          <w:lang w:val="en-US"/>
        </w:rPr>
        <w:t>55</w:t>
      </w:r>
      <w:r w:rsidRPr="001474FD">
        <w:rPr>
          <w:rFonts w:ascii="Arial" w:hAnsi="Arial" w:cs="Arial"/>
          <w:sz w:val="20"/>
          <w:lang w:val="en-US"/>
        </w:rPr>
        <w:t>: 523–30.</w:t>
      </w:r>
    </w:p>
    <w:p w14:paraId="413B9A63" w14:textId="77777777" w:rsidR="001474FD" w:rsidRPr="001474FD" w:rsidRDefault="001474FD" w:rsidP="001474FD">
      <w:pPr>
        <w:widowControl w:val="0"/>
        <w:autoSpaceDE w:val="0"/>
        <w:autoSpaceDN w:val="0"/>
        <w:adjustRightInd w:val="0"/>
        <w:rPr>
          <w:rFonts w:ascii="Arial" w:hAnsi="Arial" w:cs="Arial"/>
          <w:sz w:val="20"/>
          <w:lang w:val="en-US"/>
        </w:rPr>
      </w:pPr>
      <w:r w:rsidRPr="001474FD">
        <w:rPr>
          <w:rFonts w:ascii="Arial" w:hAnsi="Arial" w:cs="Arial"/>
          <w:sz w:val="20"/>
          <w:lang w:val="en-US"/>
        </w:rPr>
        <w:t>37</w:t>
      </w:r>
      <w:r w:rsidRPr="001474FD">
        <w:rPr>
          <w:rFonts w:ascii="Arial" w:hAnsi="Arial" w:cs="Arial"/>
          <w:sz w:val="20"/>
          <w:lang w:val="en-US"/>
        </w:rPr>
        <w:tab/>
        <w:t xml:space="preserve">Inoue Y, Saitoh S, Denpo H, </w:t>
      </w:r>
      <w:r w:rsidRPr="001474FD">
        <w:rPr>
          <w:rFonts w:ascii="Arial" w:hAnsi="Arial" w:cs="Arial"/>
          <w:i/>
          <w:iCs/>
          <w:sz w:val="20"/>
          <w:lang w:val="en-US"/>
        </w:rPr>
        <w:t>et al.</w:t>
      </w:r>
      <w:r w:rsidRPr="001474FD">
        <w:rPr>
          <w:rFonts w:ascii="Arial" w:hAnsi="Arial" w:cs="Arial"/>
          <w:sz w:val="20"/>
          <w:lang w:val="en-US"/>
        </w:rPr>
        <w:t xml:space="preserve"> Utility of liver stiffness measurement in the diagnosis of sinusoidal obstruction syndrome/veno-occlusive disease after hematopoietic stem cell transplantation. </w:t>
      </w:r>
      <w:r w:rsidRPr="001474FD">
        <w:rPr>
          <w:rFonts w:ascii="Arial" w:hAnsi="Arial" w:cs="Arial"/>
          <w:i/>
          <w:iCs/>
          <w:sz w:val="20"/>
          <w:lang w:val="en-US"/>
        </w:rPr>
        <w:t>J Med Ultrasonics</w:t>
      </w:r>
      <w:r w:rsidRPr="001474FD">
        <w:rPr>
          <w:rFonts w:ascii="Arial" w:hAnsi="Arial" w:cs="Arial"/>
          <w:sz w:val="20"/>
          <w:lang w:val="en-US"/>
        </w:rPr>
        <w:t xml:space="preserve"> 2023; published online Dec 19. DOI:10.1007/s10396-023-01392-x.</w:t>
      </w:r>
    </w:p>
    <w:p w14:paraId="269E9E6F" w14:textId="77777777" w:rsidR="001474FD" w:rsidRPr="001474FD" w:rsidRDefault="001474FD" w:rsidP="001474FD">
      <w:pPr>
        <w:widowControl w:val="0"/>
        <w:autoSpaceDE w:val="0"/>
        <w:autoSpaceDN w:val="0"/>
        <w:adjustRightInd w:val="0"/>
        <w:rPr>
          <w:rFonts w:ascii="Arial" w:hAnsi="Arial" w:cs="Arial"/>
          <w:sz w:val="20"/>
          <w:lang w:val="en-US"/>
        </w:rPr>
      </w:pPr>
      <w:r w:rsidRPr="001474FD">
        <w:rPr>
          <w:rFonts w:ascii="Arial" w:hAnsi="Arial" w:cs="Arial"/>
          <w:sz w:val="20"/>
          <w:lang w:val="en-US"/>
        </w:rPr>
        <w:t>38</w:t>
      </w:r>
      <w:r w:rsidRPr="001474FD">
        <w:rPr>
          <w:rFonts w:ascii="Arial" w:hAnsi="Arial" w:cs="Arial"/>
          <w:sz w:val="20"/>
          <w:lang w:val="en-US"/>
        </w:rPr>
        <w:tab/>
        <w:t xml:space="preserve">Schulz M, Vuong LG, Müller HP, </w:t>
      </w:r>
      <w:r w:rsidRPr="001474FD">
        <w:rPr>
          <w:rFonts w:ascii="Arial" w:hAnsi="Arial" w:cs="Arial"/>
          <w:i/>
          <w:iCs/>
          <w:sz w:val="20"/>
          <w:lang w:val="en-US"/>
        </w:rPr>
        <w:t>et al.</w:t>
      </w:r>
      <w:r w:rsidRPr="001474FD">
        <w:rPr>
          <w:rFonts w:ascii="Arial" w:hAnsi="Arial" w:cs="Arial"/>
          <w:sz w:val="20"/>
          <w:lang w:val="en-US"/>
        </w:rPr>
        <w:t xml:space="preserve"> Shear Wave Elastography in the Detection of Sinusoidal Obstruction Syndrome in Adult Patients Undergoing Allogenic Hematopoietic Stem Cell Transplantation. </w:t>
      </w:r>
      <w:r w:rsidRPr="001474FD">
        <w:rPr>
          <w:rFonts w:ascii="Arial" w:hAnsi="Arial" w:cs="Arial"/>
          <w:i/>
          <w:iCs/>
          <w:sz w:val="20"/>
          <w:lang w:val="en-US"/>
        </w:rPr>
        <w:t>Diagnostics</w:t>
      </w:r>
      <w:r w:rsidRPr="001474FD">
        <w:rPr>
          <w:rFonts w:ascii="Arial" w:hAnsi="Arial" w:cs="Arial"/>
          <w:sz w:val="20"/>
          <w:lang w:val="en-US"/>
        </w:rPr>
        <w:t xml:space="preserve"> 2021; </w:t>
      </w:r>
      <w:r w:rsidRPr="001474FD">
        <w:rPr>
          <w:rFonts w:ascii="Arial" w:hAnsi="Arial" w:cs="Arial"/>
          <w:b/>
          <w:bCs/>
          <w:sz w:val="20"/>
          <w:lang w:val="en-US"/>
        </w:rPr>
        <w:t>11</w:t>
      </w:r>
      <w:r w:rsidRPr="001474FD">
        <w:rPr>
          <w:rFonts w:ascii="Arial" w:hAnsi="Arial" w:cs="Arial"/>
          <w:sz w:val="20"/>
          <w:lang w:val="en-US"/>
        </w:rPr>
        <w:t>: 928.</w:t>
      </w:r>
    </w:p>
    <w:p w14:paraId="2E30D354" w14:textId="77777777" w:rsidR="001474FD" w:rsidRPr="001474FD" w:rsidRDefault="001474FD" w:rsidP="001474FD">
      <w:pPr>
        <w:widowControl w:val="0"/>
        <w:autoSpaceDE w:val="0"/>
        <w:autoSpaceDN w:val="0"/>
        <w:adjustRightInd w:val="0"/>
        <w:rPr>
          <w:rFonts w:ascii="Arial" w:hAnsi="Arial" w:cs="Arial"/>
          <w:sz w:val="20"/>
          <w:lang w:val="en-US"/>
        </w:rPr>
      </w:pPr>
      <w:r w:rsidRPr="001474FD">
        <w:rPr>
          <w:rFonts w:ascii="Arial" w:hAnsi="Arial" w:cs="Arial"/>
          <w:sz w:val="20"/>
          <w:lang w:val="en-US"/>
        </w:rPr>
        <w:t>39</w:t>
      </w:r>
      <w:r w:rsidRPr="001474FD">
        <w:rPr>
          <w:rFonts w:ascii="Arial" w:hAnsi="Arial" w:cs="Arial"/>
          <w:sz w:val="20"/>
          <w:lang w:val="en-US"/>
        </w:rPr>
        <w:tab/>
        <w:t xml:space="preserve">Lee YS, Lee S, Choi YH, </w:t>
      </w:r>
      <w:r w:rsidRPr="001474FD">
        <w:rPr>
          <w:rFonts w:ascii="Arial" w:hAnsi="Arial" w:cs="Arial"/>
          <w:i/>
          <w:iCs/>
          <w:sz w:val="20"/>
          <w:lang w:val="en-US"/>
        </w:rPr>
        <w:t>et al.</w:t>
      </w:r>
      <w:r w:rsidRPr="001474FD">
        <w:rPr>
          <w:rFonts w:ascii="Arial" w:hAnsi="Arial" w:cs="Arial"/>
          <w:sz w:val="20"/>
          <w:lang w:val="en-US"/>
        </w:rPr>
        <w:t xml:space="preserve"> Usefulness of two-dimensional shear wave elastography in diagnosing hepatic veno-occlusive disease in pediatric patients undergoing hematopoietic stem cell transplantation. </w:t>
      </w:r>
      <w:r w:rsidRPr="001474FD">
        <w:rPr>
          <w:rFonts w:ascii="Arial" w:hAnsi="Arial" w:cs="Arial"/>
          <w:i/>
          <w:iCs/>
          <w:sz w:val="20"/>
          <w:lang w:val="en-US"/>
        </w:rPr>
        <w:t>Ultrasonography</w:t>
      </w:r>
      <w:r w:rsidRPr="001474FD">
        <w:rPr>
          <w:rFonts w:ascii="Arial" w:hAnsi="Arial" w:cs="Arial"/>
          <w:sz w:val="20"/>
          <w:lang w:val="en-US"/>
        </w:rPr>
        <w:t xml:space="preserve"> 2023; </w:t>
      </w:r>
      <w:r w:rsidRPr="001474FD">
        <w:rPr>
          <w:rFonts w:ascii="Arial" w:hAnsi="Arial" w:cs="Arial"/>
          <w:b/>
          <w:bCs/>
          <w:sz w:val="20"/>
          <w:lang w:val="en-US"/>
        </w:rPr>
        <w:t>42</w:t>
      </w:r>
      <w:r w:rsidRPr="001474FD">
        <w:rPr>
          <w:rFonts w:ascii="Arial" w:hAnsi="Arial" w:cs="Arial"/>
          <w:sz w:val="20"/>
          <w:lang w:val="en-US"/>
        </w:rPr>
        <w:t>: 286–96.</w:t>
      </w:r>
    </w:p>
    <w:p w14:paraId="2228108A" w14:textId="77777777" w:rsidR="001474FD" w:rsidRPr="001474FD" w:rsidRDefault="001474FD" w:rsidP="001474FD">
      <w:pPr>
        <w:widowControl w:val="0"/>
        <w:autoSpaceDE w:val="0"/>
        <w:autoSpaceDN w:val="0"/>
        <w:adjustRightInd w:val="0"/>
        <w:rPr>
          <w:rFonts w:ascii="Arial" w:hAnsi="Arial" w:cs="Arial"/>
          <w:sz w:val="20"/>
          <w:lang w:val="en-US"/>
        </w:rPr>
      </w:pPr>
      <w:r w:rsidRPr="001474FD">
        <w:rPr>
          <w:rFonts w:ascii="Arial" w:hAnsi="Arial" w:cs="Arial"/>
          <w:sz w:val="20"/>
          <w:lang w:val="en-US"/>
        </w:rPr>
        <w:t>40</w:t>
      </w:r>
      <w:r w:rsidRPr="001474FD">
        <w:rPr>
          <w:rFonts w:ascii="Arial" w:hAnsi="Arial" w:cs="Arial"/>
          <w:sz w:val="20"/>
          <w:lang w:val="en-US"/>
        </w:rPr>
        <w:tab/>
        <w:t xml:space="preserve">Mehra V, Tetlow S, Choy A, </w:t>
      </w:r>
      <w:r w:rsidRPr="001474FD">
        <w:rPr>
          <w:rFonts w:ascii="Arial" w:hAnsi="Arial" w:cs="Arial"/>
          <w:i/>
          <w:iCs/>
          <w:sz w:val="20"/>
          <w:lang w:val="en-US"/>
        </w:rPr>
        <w:t>et al.</w:t>
      </w:r>
      <w:r w:rsidRPr="001474FD">
        <w:rPr>
          <w:rFonts w:ascii="Arial" w:hAnsi="Arial" w:cs="Arial"/>
          <w:sz w:val="20"/>
          <w:lang w:val="en-US"/>
        </w:rPr>
        <w:t xml:space="preserve"> Early and late-onset veno-occlusive disease/sinusoidal syndrome post allogeneic stem cell transplantation – a real-world UK experience. </w:t>
      </w:r>
      <w:r w:rsidRPr="001474FD">
        <w:rPr>
          <w:rFonts w:ascii="Arial" w:hAnsi="Arial" w:cs="Arial"/>
          <w:i/>
          <w:iCs/>
          <w:sz w:val="20"/>
          <w:lang w:val="en-US"/>
        </w:rPr>
        <w:t>American Journal of Transplantation</w:t>
      </w:r>
      <w:r w:rsidRPr="001474FD">
        <w:rPr>
          <w:rFonts w:ascii="Arial" w:hAnsi="Arial" w:cs="Arial"/>
          <w:sz w:val="20"/>
          <w:lang w:val="en-US"/>
        </w:rPr>
        <w:t xml:space="preserve"> 2021; </w:t>
      </w:r>
      <w:r w:rsidRPr="001474FD">
        <w:rPr>
          <w:rFonts w:ascii="Arial" w:hAnsi="Arial" w:cs="Arial"/>
          <w:b/>
          <w:bCs/>
          <w:sz w:val="20"/>
          <w:lang w:val="en-US"/>
        </w:rPr>
        <w:t>21</w:t>
      </w:r>
      <w:r w:rsidRPr="001474FD">
        <w:rPr>
          <w:rFonts w:ascii="Arial" w:hAnsi="Arial" w:cs="Arial"/>
          <w:sz w:val="20"/>
          <w:lang w:val="en-US"/>
        </w:rPr>
        <w:t>: 864–9.</w:t>
      </w:r>
    </w:p>
    <w:p w14:paraId="760F3B7F" w14:textId="77777777" w:rsidR="001474FD" w:rsidRPr="001474FD" w:rsidRDefault="001474FD" w:rsidP="001474FD">
      <w:pPr>
        <w:widowControl w:val="0"/>
        <w:autoSpaceDE w:val="0"/>
        <w:autoSpaceDN w:val="0"/>
        <w:adjustRightInd w:val="0"/>
        <w:rPr>
          <w:rFonts w:ascii="Arial" w:hAnsi="Arial" w:cs="Arial"/>
          <w:sz w:val="20"/>
          <w:lang w:val="en-US"/>
        </w:rPr>
      </w:pPr>
      <w:r w:rsidRPr="001474FD">
        <w:rPr>
          <w:rFonts w:ascii="Arial" w:hAnsi="Arial" w:cs="Arial"/>
          <w:sz w:val="20"/>
          <w:lang w:val="en-US"/>
        </w:rPr>
        <w:t>41</w:t>
      </w:r>
      <w:r w:rsidRPr="001474FD">
        <w:rPr>
          <w:rFonts w:ascii="Arial" w:hAnsi="Arial" w:cs="Arial"/>
          <w:sz w:val="20"/>
          <w:lang w:val="en-US"/>
        </w:rPr>
        <w:tab/>
        <w:t xml:space="preserve">Boursier J, Konate A, Guilluy M, </w:t>
      </w:r>
      <w:r w:rsidRPr="001474FD">
        <w:rPr>
          <w:rFonts w:ascii="Arial" w:hAnsi="Arial" w:cs="Arial"/>
          <w:i/>
          <w:iCs/>
          <w:sz w:val="20"/>
          <w:lang w:val="en-US"/>
        </w:rPr>
        <w:t>et al.</w:t>
      </w:r>
      <w:r w:rsidRPr="001474FD">
        <w:rPr>
          <w:rFonts w:ascii="Arial" w:hAnsi="Arial" w:cs="Arial"/>
          <w:sz w:val="20"/>
          <w:lang w:val="en-US"/>
        </w:rPr>
        <w:t xml:space="preserve"> Learning curve and interobserver reproducibility evaluation of liver stiffness measurement by transient elastography. </w:t>
      </w:r>
      <w:r w:rsidRPr="001474FD">
        <w:rPr>
          <w:rFonts w:ascii="Arial" w:hAnsi="Arial" w:cs="Arial"/>
          <w:i/>
          <w:iCs/>
          <w:sz w:val="20"/>
          <w:lang w:val="en-US"/>
        </w:rPr>
        <w:t>European journal of gastroenterology &amp; hepatology</w:t>
      </w:r>
      <w:r w:rsidRPr="001474FD">
        <w:rPr>
          <w:rFonts w:ascii="Arial" w:hAnsi="Arial" w:cs="Arial"/>
          <w:sz w:val="20"/>
          <w:lang w:val="en-US"/>
        </w:rPr>
        <w:t xml:space="preserve"> 2008; </w:t>
      </w:r>
      <w:r w:rsidRPr="001474FD">
        <w:rPr>
          <w:rFonts w:ascii="Arial" w:hAnsi="Arial" w:cs="Arial"/>
          <w:b/>
          <w:bCs/>
          <w:sz w:val="20"/>
          <w:lang w:val="en-US"/>
        </w:rPr>
        <w:t>20</w:t>
      </w:r>
      <w:r w:rsidRPr="001474FD">
        <w:rPr>
          <w:rFonts w:ascii="Arial" w:hAnsi="Arial" w:cs="Arial"/>
          <w:sz w:val="20"/>
          <w:lang w:val="en-US"/>
        </w:rPr>
        <w:t>: 693–701.</w:t>
      </w:r>
    </w:p>
    <w:p w14:paraId="150FB993" w14:textId="7A394290" w:rsidR="00775704" w:rsidRPr="002D3216" w:rsidRDefault="006F467C" w:rsidP="002D3216">
      <w:pPr>
        <w:rPr>
          <w:rFonts w:ascii="Arial" w:hAnsi="Arial" w:cs="Arial"/>
          <w:b/>
          <w:bCs/>
          <w:lang w:val="en-GB"/>
        </w:rPr>
      </w:pPr>
      <w:r w:rsidRPr="006F467C">
        <w:rPr>
          <w:rFonts w:ascii="Arial" w:hAnsi="Arial" w:cs="Arial"/>
          <w:sz w:val="20"/>
          <w:szCs w:val="20"/>
          <w:lang w:val="en-GB"/>
        </w:rPr>
        <w:fldChar w:fldCharType="end"/>
      </w:r>
    </w:p>
    <w:sectPr w:rsidR="00775704" w:rsidRPr="002D3216" w:rsidSect="007B688B">
      <w:footerReference w:type="even" r:id="rId13"/>
      <w:footerReference w:type="default" r:id="rId14"/>
      <w:pgSz w:w="11900" w:h="16840"/>
      <w:pgMar w:top="1417" w:right="1134" w:bottom="1134" w:left="1134" w:header="708" w:footer="708" w:gutter="0"/>
      <w:cols w:space="708"/>
      <w:titlePg/>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comment w:id="0" w:author="Federico Ravaioli" w:date="2024-03-24T23:05:00Z" w:initials="FR">
    <w:p w14:paraId="46414A25" w14:textId="77777777" w:rsidR="00A0718A" w:rsidRDefault="00061511" w:rsidP="00A0718A">
      <w:r>
        <w:rPr>
          <w:rStyle w:val="Rimandocommento"/>
        </w:rPr>
        <w:annotationRef/>
      </w:r>
      <w:r w:rsidR="00A0718A">
        <w:rPr>
          <w:rFonts w:asciiTheme="minorHAnsi" w:eastAsiaTheme="minorHAnsi" w:hAnsiTheme="minorHAnsi" w:cstheme="minorBidi"/>
          <w:b/>
          <w:bCs/>
          <w:sz w:val="20"/>
          <w:szCs w:val="20"/>
          <w:highlight w:val="yellow"/>
          <w:lang w:eastAsia="en-US"/>
        </w:rPr>
        <w:t>X I CENTRI</w:t>
      </w:r>
      <w:r w:rsidR="00A0718A">
        <w:rPr>
          <w:rFonts w:asciiTheme="minorHAnsi" w:eastAsiaTheme="minorHAnsi" w:hAnsiTheme="minorHAnsi" w:cstheme="minorBidi"/>
          <w:b/>
          <w:bCs/>
          <w:sz w:val="20"/>
          <w:szCs w:val="20"/>
          <w:lang w:eastAsia="en-US"/>
        </w:rPr>
        <w:cr/>
      </w:r>
      <w:r w:rsidR="00A0718A">
        <w:rPr>
          <w:rFonts w:asciiTheme="minorHAnsi" w:eastAsiaTheme="minorHAnsi" w:hAnsiTheme="minorHAnsi" w:cstheme="minorBidi"/>
          <w:sz w:val="20"/>
          <w:szCs w:val="20"/>
          <w:lang w:eastAsia="en-US"/>
        </w:rPr>
        <w:cr/>
        <w:t xml:space="preserve">Aggiungere commentando nell’Appendix la lista dei collaboratori (max 2 per centro) che hanno fatto parte dello studio. </w:t>
      </w:r>
    </w:p>
  </w:comment>
  <w:comment w:id="1" w:author="Federico Ravaioli" w:date="2024-04-23T13:24:00Z" w:initials="FR">
    <w:p w14:paraId="4C59FEF4" w14:textId="77777777" w:rsidR="00DF3A50" w:rsidRDefault="00DF3A50" w:rsidP="00DF3A50">
      <w:r>
        <w:rPr>
          <w:rStyle w:val="Rimandocommento"/>
        </w:rPr>
        <w:annotationRef/>
      </w:r>
      <w:r>
        <w:rPr>
          <w:rFonts w:asciiTheme="minorHAnsi" w:eastAsiaTheme="minorHAnsi" w:hAnsiTheme="minorHAnsi" w:cstheme="minorBidi"/>
          <w:color w:val="000000"/>
          <w:sz w:val="20"/>
          <w:szCs w:val="20"/>
          <w:lang w:eastAsia="en-US"/>
        </w:rPr>
        <w:t xml:space="preserve">Se la rivista prevede l’indicizzazione dei collaboratori, i nomi appaiono su </w:t>
      </w:r>
    </w:p>
  </w:comment>
  <w:comment w:id="2" w:author="Federico Ravaioli" w:date="2024-01-04T19:14:00Z" w:initials="FR">
    <w:p w14:paraId="4E1C8627" w14:textId="2FBC5352" w:rsidR="006F5BDC" w:rsidRDefault="006F5BDC" w:rsidP="006F5BDC">
      <w:r>
        <w:rPr>
          <w:rStyle w:val="Rimandocommento"/>
        </w:rPr>
        <w:annotationRef/>
      </w:r>
      <w:r>
        <w:rPr>
          <w:rFonts w:asciiTheme="minorHAnsi" w:eastAsiaTheme="minorHAnsi" w:hAnsiTheme="minorHAnsi" w:cstheme="minorBidi"/>
          <w:b/>
          <w:bCs/>
          <w:sz w:val="20"/>
          <w:szCs w:val="20"/>
          <w:highlight w:val="yellow"/>
          <w:lang w:eastAsia="en-US"/>
        </w:rPr>
        <w:t xml:space="preserve">PER I CENTRI: </w:t>
      </w:r>
      <w:r>
        <w:rPr>
          <w:rFonts w:asciiTheme="minorHAnsi" w:eastAsiaTheme="minorHAnsi" w:hAnsiTheme="minorHAnsi" w:cstheme="minorBidi"/>
          <w:sz w:val="20"/>
          <w:szCs w:val="20"/>
          <w:lang w:eastAsia="en-US"/>
        </w:rPr>
        <w:cr/>
      </w:r>
      <w:r>
        <w:rPr>
          <w:rFonts w:asciiTheme="minorHAnsi" w:eastAsiaTheme="minorHAnsi" w:hAnsiTheme="minorHAnsi" w:cstheme="minorBidi"/>
          <w:sz w:val="20"/>
          <w:szCs w:val="20"/>
          <w:lang w:eastAsia="en-US"/>
        </w:rPr>
        <w:cr/>
        <w:t xml:space="preserve">Fornire commentando i materiali supplementari (Tab2) chi nel vostro centro ha eseguito le misurazioni (Epatologo, Internista, Radiologo, Gastroenterologo, Ematologo, Radiologo, altro). </w:t>
      </w:r>
    </w:p>
  </w:comment>
  <w:comment w:id="3" w:author="Federico Ravaioli" w:date="2024-01-05T12:57:00Z" w:initials="FR">
    <w:p w14:paraId="58B9C4F7" w14:textId="5D980F20" w:rsidR="008118A7" w:rsidRDefault="008118A7" w:rsidP="00E05CBF">
      <w:r>
        <w:rPr>
          <w:rStyle w:val="Rimandocommento"/>
        </w:rPr>
        <w:annotationRef/>
      </w:r>
      <w:r>
        <w:rPr>
          <w:rFonts w:asciiTheme="minorHAnsi" w:eastAsiaTheme="minorHAnsi" w:hAnsiTheme="minorHAnsi" w:cstheme="minorBidi"/>
          <w:color w:val="000000"/>
          <w:sz w:val="20"/>
          <w:szCs w:val="20"/>
          <w:lang w:eastAsia="en-US"/>
        </w:rPr>
        <w:t xml:space="preserve">Lancet non è solito dividere i risultati in capitoli. Li ho messi per nostra chiarezza poi li tolgo prima di sottomettere. </w:t>
      </w:r>
    </w:p>
  </w:comment>
  <w:comment w:id="4" w:author="Federico Ravaioli" w:date="2024-04-14T23:58:00Z" w:initials="FR">
    <w:p w14:paraId="1A781D46" w14:textId="77777777" w:rsidR="006F467C" w:rsidRDefault="00664690" w:rsidP="006F467C">
      <w:r>
        <w:rPr>
          <w:rStyle w:val="Rimandocommento"/>
        </w:rPr>
        <w:annotationRef/>
      </w:r>
      <w:r w:rsidR="006F467C">
        <w:rPr>
          <w:rFonts w:asciiTheme="minorHAnsi" w:eastAsiaTheme="minorHAnsi" w:hAnsiTheme="minorHAnsi" w:cstheme="minorBidi"/>
          <w:b/>
          <w:bCs/>
          <w:sz w:val="20"/>
          <w:szCs w:val="20"/>
          <w:highlight w:val="yellow"/>
          <w:lang w:eastAsia="en-US"/>
        </w:rPr>
        <w:t xml:space="preserve">X TUTTI GLI AUTORI: </w:t>
      </w:r>
    </w:p>
    <w:p w14:paraId="0D07BF4E" w14:textId="77777777" w:rsidR="006F467C" w:rsidRDefault="006F467C" w:rsidP="006F467C"/>
    <w:p w14:paraId="123B1CEE" w14:textId="77777777" w:rsidR="006F467C" w:rsidRDefault="006F467C" w:rsidP="006F467C">
      <w:r>
        <w:rPr>
          <w:rFonts w:asciiTheme="minorHAnsi" w:eastAsiaTheme="minorHAnsi" w:hAnsiTheme="minorHAnsi" w:cstheme="minorBidi"/>
          <w:b/>
          <w:bCs/>
          <w:sz w:val="20"/>
          <w:szCs w:val="20"/>
          <w:lang w:eastAsia="en-US"/>
        </w:rPr>
        <w:t xml:space="preserve">Chiederemmo a tutti gli autori di aggiungere i loro COI; in caso di mancato invio consideremo che non sono presenti COI per quell’autore. </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commentEx w15:paraId="46414A25" w15:done="0"/>
  <w15:commentEx w15:paraId="4C59FEF4" w15:paraIdParent="46414A25" w15:done="0"/>
  <w15:commentEx w15:paraId="4E1C8627" w15:done="0"/>
  <w15:commentEx w15:paraId="58B9C4F7" w15:done="0"/>
  <w15:commentEx w15:paraId="123B1CEE"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16du wp14">
  <w16cex:commentExtensible w16cex:durableId="2DDA113D" w16cex:dateUtc="2024-03-24T22:05:00Z"/>
  <w16cex:commentExtensible w16cex:durableId="15385FEB" w16cex:dateUtc="2024-04-23T11:24:00Z"/>
  <w16cex:commentExtensible w16cex:durableId="7FF9CFBA" w16cex:dateUtc="2024-04-14T21:58: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6cid:commentId w16cid:paraId="46414A25" w16cid:durableId="2DDA113D"/>
  <w16cid:commentId w16cid:paraId="4C59FEF4" w16cid:durableId="15385FEB"/>
  <w16cid:commentId w16cid:paraId="4E1C8627" w16cid:durableId="497B38FC"/>
  <w16cid:commentId w16cid:paraId="58B9C4F7" w16cid:durableId="090409C1"/>
  <w16cid:commentId w16cid:paraId="123B1CEE" w16cid:durableId="7FF9CFBA"/>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278F6C5" w14:textId="77777777" w:rsidR="00201AF7" w:rsidRDefault="00201AF7" w:rsidP="00A37FE8">
      <w:r>
        <w:separator/>
      </w:r>
    </w:p>
  </w:endnote>
  <w:endnote w:type="continuationSeparator" w:id="0">
    <w:p w14:paraId="6ECCF272" w14:textId="77777777" w:rsidR="00201AF7" w:rsidRDefault="00201AF7" w:rsidP="00A37FE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61002A87" w:usb1="80000000" w:usb2="00000008" w:usb3="00000000" w:csb0="0001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Numeropagina"/>
      </w:rPr>
      <w:id w:val="-1827891253"/>
      <w:docPartObj>
        <w:docPartGallery w:val="Page Numbers (Bottom of Page)"/>
        <w:docPartUnique/>
      </w:docPartObj>
    </w:sdtPr>
    <w:sdtContent>
      <w:p w14:paraId="7521E4CB" w14:textId="77777777" w:rsidR="008118A7" w:rsidRDefault="008118A7" w:rsidP="00A37FE8">
        <w:pPr>
          <w:pStyle w:val="Pidipagina"/>
          <w:framePr w:wrap="none" w:vAnchor="text" w:hAnchor="margin" w:xAlign="right" w:y="1"/>
          <w:rPr>
            <w:rStyle w:val="Numeropagina"/>
          </w:rPr>
        </w:pPr>
        <w:r>
          <w:rPr>
            <w:rStyle w:val="Numeropagina"/>
          </w:rPr>
          <w:fldChar w:fldCharType="begin"/>
        </w:r>
        <w:r>
          <w:rPr>
            <w:rStyle w:val="Numeropagina"/>
          </w:rPr>
          <w:instrText xml:space="preserve"> PAGE </w:instrText>
        </w:r>
        <w:r>
          <w:rPr>
            <w:rStyle w:val="Numeropagina"/>
          </w:rPr>
          <w:fldChar w:fldCharType="end"/>
        </w:r>
      </w:p>
    </w:sdtContent>
  </w:sdt>
  <w:p w14:paraId="305325E0" w14:textId="77777777" w:rsidR="008118A7" w:rsidRDefault="008118A7" w:rsidP="00A37FE8">
    <w:pPr>
      <w:pStyle w:val="Pidipa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Numeropagina"/>
      </w:rPr>
      <w:id w:val="1363857527"/>
      <w:docPartObj>
        <w:docPartGallery w:val="Page Numbers (Bottom of Page)"/>
        <w:docPartUnique/>
      </w:docPartObj>
    </w:sdtPr>
    <w:sdtContent>
      <w:p w14:paraId="4B001796" w14:textId="77777777" w:rsidR="008118A7" w:rsidRDefault="008118A7" w:rsidP="008118A7">
        <w:pPr>
          <w:pStyle w:val="Pidipagina"/>
          <w:framePr w:wrap="none" w:vAnchor="text" w:hAnchor="margin" w:xAlign="right" w:y="1"/>
          <w:rPr>
            <w:rStyle w:val="Numeropagina"/>
          </w:rPr>
        </w:pPr>
        <w:r w:rsidRPr="00A37FE8">
          <w:rPr>
            <w:rStyle w:val="Numeropagina"/>
            <w:rFonts w:ascii="Arial" w:hAnsi="Arial" w:cs="Arial"/>
          </w:rPr>
          <w:fldChar w:fldCharType="begin"/>
        </w:r>
        <w:r w:rsidRPr="00A37FE8">
          <w:rPr>
            <w:rStyle w:val="Numeropagina"/>
            <w:rFonts w:ascii="Arial" w:hAnsi="Arial" w:cs="Arial"/>
          </w:rPr>
          <w:instrText xml:space="preserve"> PAGE </w:instrText>
        </w:r>
        <w:r w:rsidRPr="00A37FE8">
          <w:rPr>
            <w:rStyle w:val="Numeropagina"/>
            <w:rFonts w:ascii="Arial" w:hAnsi="Arial" w:cs="Arial"/>
          </w:rPr>
          <w:fldChar w:fldCharType="separate"/>
        </w:r>
        <w:r w:rsidR="00022445">
          <w:rPr>
            <w:rStyle w:val="Numeropagina"/>
            <w:rFonts w:ascii="Arial" w:hAnsi="Arial" w:cs="Arial"/>
            <w:noProof/>
          </w:rPr>
          <w:t>20</w:t>
        </w:r>
        <w:r w:rsidRPr="00A37FE8">
          <w:rPr>
            <w:rStyle w:val="Numeropagina"/>
            <w:rFonts w:ascii="Arial" w:hAnsi="Arial" w:cs="Arial"/>
          </w:rPr>
          <w:fldChar w:fldCharType="end"/>
        </w:r>
      </w:p>
    </w:sdtContent>
  </w:sdt>
  <w:p w14:paraId="5D95B6AD" w14:textId="77777777" w:rsidR="008118A7" w:rsidRDefault="008118A7" w:rsidP="00A37FE8">
    <w:pPr>
      <w:pStyle w:val="Pidipa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D3A8F6A" w14:textId="77777777" w:rsidR="00201AF7" w:rsidRDefault="00201AF7" w:rsidP="00A37FE8">
      <w:r>
        <w:separator/>
      </w:r>
    </w:p>
  </w:footnote>
  <w:footnote w:type="continuationSeparator" w:id="0">
    <w:p w14:paraId="15B27585" w14:textId="77777777" w:rsidR="00201AF7" w:rsidRDefault="00201AF7" w:rsidP="00A37FE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C387285"/>
    <w:multiLevelType w:val="multilevel"/>
    <w:tmpl w:val="651663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2185182"/>
    <w:multiLevelType w:val="multilevel"/>
    <w:tmpl w:val="79D2F5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AA83709"/>
    <w:multiLevelType w:val="hybridMultilevel"/>
    <w:tmpl w:val="C4800202"/>
    <w:lvl w:ilvl="0" w:tplc="FFFFFFF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2DE315D9"/>
    <w:multiLevelType w:val="multilevel"/>
    <w:tmpl w:val="A028A5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411746F4"/>
    <w:multiLevelType w:val="multilevel"/>
    <w:tmpl w:val="73D645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441C32A8"/>
    <w:multiLevelType w:val="multilevel"/>
    <w:tmpl w:val="2FD8E6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99E4B99"/>
    <w:multiLevelType w:val="hybridMultilevel"/>
    <w:tmpl w:val="18969E48"/>
    <w:lvl w:ilvl="0" w:tplc="0410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60E92409"/>
    <w:multiLevelType w:val="hybridMultilevel"/>
    <w:tmpl w:val="67CECC18"/>
    <w:lvl w:ilvl="0" w:tplc="3ED03228">
      <w:start w:val="1"/>
      <w:numFmt w:val="bullet"/>
      <w:lvlText w:val="•"/>
      <w:lvlJc w:val="left"/>
      <w:pPr>
        <w:tabs>
          <w:tab w:val="num" w:pos="720"/>
        </w:tabs>
        <w:ind w:left="720" w:hanging="360"/>
      </w:pPr>
      <w:rPr>
        <w:rFonts w:ascii="Arial" w:hAnsi="Arial" w:hint="default"/>
      </w:rPr>
    </w:lvl>
    <w:lvl w:ilvl="1" w:tplc="8F74E366" w:tentative="1">
      <w:start w:val="1"/>
      <w:numFmt w:val="bullet"/>
      <w:lvlText w:val="•"/>
      <w:lvlJc w:val="left"/>
      <w:pPr>
        <w:tabs>
          <w:tab w:val="num" w:pos="1440"/>
        </w:tabs>
        <w:ind w:left="1440" w:hanging="360"/>
      </w:pPr>
      <w:rPr>
        <w:rFonts w:ascii="Arial" w:hAnsi="Arial" w:hint="default"/>
      </w:rPr>
    </w:lvl>
    <w:lvl w:ilvl="2" w:tplc="69FE9B62" w:tentative="1">
      <w:start w:val="1"/>
      <w:numFmt w:val="bullet"/>
      <w:lvlText w:val="•"/>
      <w:lvlJc w:val="left"/>
      <w:pPr>
        <w:tabs>
          <w:tab w:val="num" w:pos="2160"/>
        </w:tabs>
        <w:ind w:left="2160" w:hanging="360"/>
      </w:pPr>
      <w:rPr>
        <w:rFonts w:ascii="Arial" w:hAnsi="Arial" w:hint="default"/>
      </w:rPr>
    </w:lvl>
    <w:lvl w:ilvl="3" w:tplc="AD8C626C" w:tentative="1">
      <w:start w:val="1"/>
      <w:numFmt w:val="bullet"/>
      <w:lvlText w:val="•"/>
      <w:lvlJc w:val="left"/>
      <w:pPr>
        <w:tabs>
          <w:tab w:val="num" w:pos="2880"/>
        </w:tabs>
        <w:ind w:left="2880" w:hanging="360"/>
      </w:pPr>
      <w:rPr>
        <w:rFonts w:ascii="Arial" w:hAnsi="Arial" w:hint="default"/>
      </w:rPr>
    </w:lvl>
    <w:lvl w:ilvl="4" w:tplc="5010DA14" w:tentative="1">
      <w:start w:val="1"/>
      <w:numFmt w:val="bullet"/>
      <w:lvlText w:val="•"/>
      <w:lvlJc w:val="left"/>
      <w:pPr>
        <w:tabs>
          <w:tab w:val="num" w:pos="3600"/>
        </w:tabs>
        <w:ind w:left="3600" w:hanging="360"/>
      </w:pPr>
      <w:rPr>
        <w:rFonts w:ascii="Arial" w:hAnsi="Arial" w:hint="default"/>
      </w:rPr>
    </w:lvl>
    <w:lvl w:ilvl="5" w:tplc="ECD2ED22" w:tentative="1">
      <w:start w:val="1"/>
      <w:numFmt w:val="bullet"/>
      <w:lvlText w:val="•"/>
      <w:lvlJc w:val="left"/>
      <w:pPr>
        <w:tabs>
          <w:tab w:val="num" w:pos="4320"/>
        </w:tabs>
        <w:ind w:left="4320" w:hanging="360"/>
      </w:pPr>
      <w:rPr>
        <w:rFonts w:ascii="Arial" w:hAnsi="Arial" w:hint="default"/>
      </w:rPr>
    </w:lvl>
    <w:lvl w:ilvl="6" w:tplc="F502EF00" w:tentative="1">
      <w:start w:val="1"/>
      <w:numFmt w:val="bullet"/>
      <w:lvlText w:val="•"/>
      <w:lvlJc w:val="left"/>
      <w:pPr>
        <w:tabs>
          <w:tab w:val="num" w:pos="5040"/>
        </w:tabs>
        <w:ind w:left="5040" w:hanging="360"/>
      </w:pPr>
      <w:rPr>
        <w:rFonts w:ascii="Arial" w:hAnsi="Arial" w:hint="default"/>
      </w:rPr>
    </w:lvl>
    <w:lvl w:ilvl="7" w:tplc="9A54EFE6" w:tentative="1">
      <w:start w:val="1"/>
      <w:numFmt w:val="bullet"/>
      <w:lvlText w:val="•"/>
      <w:lvlJc w:val="left"/>
      <w:pPr>
        <w:tabs>
          <w:tab w:val="num" w:pos="5760"/>
        </w:tabs>
        <w:ind w:left="5760" w:hanging="360"/>
      </w:pPr>
      <w:rPr>
        <w:rFonts w:ascii="Arial" w:hAnsi="Arial" w:hint="default"/>
      </w:rPr>
    </w:lvl>
    <w:lvl w:ilvl="8" w:tplc="CBA6166A" w:tentative="1">
      <w:start w:val="1"/>
      <w:numFmt w:val="bullet"/>
      <w:lvlText w:val="•"/>
      <w:lvlJc w:val="left"/>
      <w:pPr>
        <w:tabs>
          <w:tab w:val="num" w:pos="6480"/>
        </w:tabs>
        <w:ind w:left="6480" w:hanging="360"/>
      </w:pPr>
      <w:rPr>
        <w:rFonts w:ascii="Arial" w:hAnsi="Arial" w:hint="default"/>
      </w:rPr>
    </w:lvl>
  </w:abstractNum>
  <w:abstractNum w:abstractNumId="8" w15:restartNumberingAfterBreak="0">
    <w:nsid w:val="62DE3B85"/>
    <w:multiLevelType w:val="hybridMultilevel"/>
    <w:tmpl w:val="44C8188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65DE4F3F"/>
    <w:multiLevelType w:val="hybridMultilevel"/>
    <w:tmpl w:val="FBBC0DA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68902001"/>
    <w:multiLevelType w:val="multilevel"/>
    <w:tmpl w:val="0658C1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78EC554C"/>
    <w:multiLevelType w:val="multilevel"/>
    <w:tmpl w:val="2BB2C0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574776808">
    <w:abstractNumId w:val="10"/>
  </w:num>
  <w:num w:numId="2" w16cid:durableId="640423616">
    <w:abstractNumId w:val="3"/>
  </w:num>
  <w:num w:numId="3" w16cid:durableId="314530326">
    <w:abstractNumId w:val="11"/>
  </w:num>
  <w:num w:numId="4" w16cid:durableId="338237084">
    <w:abstractNumId w:val="4"/>
  </w:num>
  <w:num w:numId="5" w16cid:durableId="867379722">
    <w:abstractNumId w:val="5"/>
  </w:num>
  <w:num w:numId="6" w16cid:durableId="597250981">
    <w:abstractNumId w:val="1"/>
  </w:num>
  <w:num w:numId="7" w16cid:durableId="1623339299">
    <w:abstractNumId w:val="0"/>
  </w:num>
  <w:num w:numId="8" w16cid:durableId="477307606">
    <w:abstractNumId w:val="7"/>
  </w:num>
  <w:num w:numId="9" w16cid:durableId="10496485">
    <w:abstractNumId w:val="9"/>
  </w:num>
  <w:num w:numId="10" w16cid:durableId="1488743870">
    <w:abstractNumId w:val="8"/>
  </w:num>
  <w:num w:numId="11" w16cid:durableId="2061324132">
    <w:abstractNumId w:val="6"/>
  </w:num>
  <w:num w:numId="12" w16cid:durableId="3090934">
    <w:abstractNumId w:val="2"/>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Federico Ravaioli">
    <w15:presenceInfo w15:providerId="AD" w15:userId="S::f.ravaioli@unibo.it::5770c748-9f93-4c17-bd34-630e7d969e5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85"/>
  <w:hideSpellingErrors/>
  <w:hideGrammaticalErrors/>
  <w:defaultTabStop w:val="708"/>
  <w:hyphenationZone w:val="283"/>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95687"/>
    <w:rsid w:val="00002083"/>
    <w:rsid w:val="00002C72"/>
    <w:rsid w:val="00004807"/>
    <w:rsid w:val="000130A0"/>
    <w:rsid w:val="00014943"/>
    <w:rsid w:val="00022445"/>
    <w:rsid w:val="00022913"/>
    <w:rsid w:val="000304A7"/>
    <w:rsid w:val="00034CBD"/>
    <w:rsid w:val="0003669B"/>
    <w:rsid w:val="000467A2"/>
    <w:rsid w:val="00052B5C"/>
    <w:rsid w:val="00056F3A"/>
    <w:rsid w:val="00061511"/>
    <w:rsid w:val="000636FC"/>
    <w:rsid w:val="00070EBD"/>
    <w:rsid w:val="00072B01"/>
    <w:rsid w:val="00075B33"/>
    <w:rsid w:val="00081554"/>
    <w:rsid w:val="00085175"/>
    <w:rsid w:val="00090534"/>
    <w:rsid w:val="00093482"/>
    <w:rsid w:val="00095407"/>
    <w:rsid w:val="000A0285"/>
    <w:rsid w:val="000A0F96"/>
    <w:rsid w:val="000B2FA6"/>
    <w:rsid w:val="000B678F"/>
    <w:rsid w:val="000C3B60"/>
    <w:rsid w:val="000C5218"/>
    <w:rsid w:val="000D1ED3"/>
    <w:rsid w:val="000D49E3"/>
    <w:rsid w:val="000E10A9"/>
    <w:rsid w:val="000E211B"/>
    <w:rsid w:val="001004E6"/>
    <w:rsid w:val="00103C60"/>
    <w:rsid w:val="00115F6A"/>
    <w:rsid w:val="001220C3"/>
    <w:rsid w:val="00122CBD"/>
    <w:rsid w:val="00124675"/>
    <w:rsid w:val="00124B85"/>
    <w:rsid w:val="00131A5A"/>
    <w:rsid w:val="001356D7"/>
    <w:rsid w:val="001404AF"/>
    <w:rsid w:val="0014115F"/>
    <w:rsid w:val="00141A05"/>
    <w:rsid w:val="00142768"/>
    <w:rsid w:val="001474FD"/>
    <w:rsid w:val="00152AD4"/>
    <w:rsid w:val="00160288"/>
    <w:rsid w:val="00163B25"/>
    <w:rsid w:val="001640F6"/>
    <w:rsid w:val="0016745E"/>
    <w:rsid w:val="00170184"/>
    <w:rsid w:val="00173BD4"/>
    <w:rsid w:val="00183C6B"/>
    <w:rsid w:val="001846C7"/>
    <w:rsid w:val="00185FF2"/>
    <w:rsid w:val="001916DF"/>
    <w:rsid w:val="00191C07"/>
    <w:rsid w:val="00195C06"/>
    <w:rsid w:val="0019791F"/>
    <w:rsid w:val="001A4B3F"/>
    <w:rsid w:val="001A4B6F"/>
    <w:rsid w:val="001B478D"/>
    <w:rsid w:val="001C1E32"/>
    <w:rsid w:val="001C724F"/>
    <w:rsid w:val="001C7989"/>
    <w:rsid w:val="001D1748"/>
    <w:rsid w:val="001E0117"/>
    <w:rsid w:val="001E083D"/>
    <w:rsid w:val="001E68E8"/>
    <w:rsid w:val="001E7773"/>
    <w:rsid w:val="001F4AC4"/>
    <w:rsid w:val="00201AF7"/>
    <w:rsid w:val="00201C46"/>
    <w:rsid w:val="0021130D"/>
    <w:rsid w:val="00222BCD"/>
    <w:rsid w:val="00224AF5"/>
    <w:rsid w:val="0022735C"/>
    <w:rsid w:val="00227CDA"/>
    <w:rsid w:val="00231EA3"/>
    <w:rsid w:val="002334EF"/>
    <w:rsid w:val="00235BE7"/>
    <w:rsid w:val="00236D70"/>
    <w:rsid w:val="002375D0"/>
    <w:rsid w:val="00245D9E"/>
    <w:rsid w:val="0024653D"/>
    <w:rsid w:val="00251B89"/>
    <w:rsid w:val="00255F3F"/>
    <w:rsid w:val="002567EE"/>
    <w:rsid w:val="00263296"/>
    <w:rsid w:val="0026388A"/>
    <w:rsid w:val="0026504D"/>
    <w:rsid w:val="00265726"/>
    <w:rsid w:val="0026786A"/>
    <w:rsid w:val="00281951"/>
    <w:rsid w:val="00286B54"/>
    <w:rsid w:val="00293447"/>
    <w:rsid w:val="00294DCE"/>
    <w:rsid w:val="00295DD7"/>
    <w:rsid w:val="002A18AB"/>
    <w:rsid w:val="002A213E"/>
    <w:rsid w:val="002A5AE8"/>
    <w:rsid w:val="002C5D42"/>
    <w:rsid w:val="002C623E"/>
    <w:rsid w:val="002D00D0"/>
    <w:rsid w:val="002D3216"/>
    <w:rsid w:val="002D3B0E"/>
    <w:rsid w:val="002D5455"/>
    <w:rsid w:val="002D6F61"/>
    <w:rsid w:val="002E017E"/>
    <w:rsid w:val="002E68C6"/>
    <w:rsid w:val="00304177"/>
    <w:rsid w:val="00310EB9"/>
    <w:rsid w:val="00312F6E"/>
    <w:rsid w:val="003139FB"/>
    <w:rsid w:val="00313E17"/>
    <w:rsid w:val="00314D6A"/>
    <w:rsid w:val="00316E9C"/>
    <w:rsid w:val="00323BAC"/>
    <w:rsid w:val="00326C5F"/>
    <w:rsid w:val="00330927"/>
    <w:rsid w:val="00337C6D"/>
    <w:rsid w:val="003408A0"/>
    <w:rsid w:val="003450E1"/>
    <w:rsid w:val="00371750"/>
    <w:rsid w:val="00371C3E"/>
    <w:rsid w:val="00375105"/>
    <w:rsid w:val="00376036"/>
    <w:rsid w:val="00380F6B"/>
    <w:rsid w:val="00381A3D"/>
    <w:rsid w:val="00383C1B"/>
    <w:rsid w:val="003955FA"/>
    <w:rsid w:val="003A4269"/>
    <w:rsid w:val="003B39EB"/>
    <w:rsid w:val="003C1622"/>
    <w:rsid w:val="003D661B"/>
    <w:rsid w:val="003D6BC7"/>
    <w:rsid w:val="003E0A00"/>
    <w:rsid w:val="003E3E43"/>
    <w:rsid w:val="003F2CCD"/>
    <w:rsid w:val="003F2FF3"/>
    <w:rsid w:val="00401AB2"/>
    <w:rsid w:val="00402C75"/>
    <w:rsid w:val="00405CC5"/>
    <w:rsid w:val="00407767"/>
    <w:rsid w:val="0042380B"/>
    <w:rsid w:val="004278BB"/>
    <w:rsid w:val="00432F75"/>
    <w:rsid w:val="004348C3"/>
    <w:rsid w:val="00437E3E"/>
    <w:rsid w:val="004440D1"/>
    <w:rsid w:val="00460582"/>
    <w:rsid w:val="004619C1"/>
    <w:rsid w:val="00461AC8"/>
    <w:rsid w:val="004667B9"/>
    <w:rsid w:val="00471194"/>
    <w:rsid w:val="004733AC"/>
    <w:rsid w:val="004817AA"/>
    <w:rsid w:val="00485D74"/>
    <w:rsid w:val="004A0624"/>
    <w:rsid w:val="004A3B2D"/>
    <w:rsid w:val="004C0857"/>
    <w:rsid w:val="004C5935"/>
    <w:rsid w:val="004C7FDA"/>
    <w:rsid w:val="004D0E6B"/>
    <w:rsid w:val="004D5601"/>
    <w:rsid w:val="004D7AD4"/>
    <w:rsid w:val="004E1D1B"/>
    <w:rsid w:val="004E4F61"/>
    <w:rsid w:val="004F0C0D"/>
    <w:rsid w:val="004F301C"/>
    <w:rsid w:val="004F55F1"/>
    <w:rsid w:val="004F5FA4"/>
    <w:rsid w:val="004F6B1E"/>
    <w:rsid w:val="005031F2"/>
    <w:rsid w:val="0050424E"/>
    <w:rsid w:val="0052123B"/>
    <w:rsid w:val="00526455"/>
    <w:rsid w:val="0054468C"/>
    <w:rsid w:val="0054504B"/>
    <w:rsid w:val="00545CBB"/>
    <w:rsid w:val="005557B7"/>
    <w:rsid w:val="00565679"/>
    <w:rsid w:val="00572B2B"/>
    <w:rsid w:val="0057610F"/>
    <w:rsid w:val="00584044"/>
    <w:rsid w:val="005906B7"/>
    <w:rsid w:val="00592033"/>
    <w:rsid w:val="005A10CA"/>
    <w:rsid w:val="005A64E0"/>
    <w:rsid w:val="005A711B"/>
    <w:rsid w:val="005B3470"/>
    <w:rsid w:val="005B5EEC"/>
    <w:rsid w:val="005B6C0B"/>
    <w:rsid w:val="005C10C1"/>
    <w:rsid w:val="005C3447"/>
    <w:rsid w:val="005C3678"/>
    <w:rsid w:val="005C5F78"/>
    <w:rsid w:val="005C65DE"/>
    <w:rsid w:val="005C7BD0"/>
    <w:rsid w:val="005D24AA"/>
    <w:rsid w:val="00605850"/>
    <w:rsid w:val="0060695F"/>
    <w:rsid w:val="0061511A"/>
    <w:rsid w:val="006231EF"/>
    <w:rsid w:val="006236ED"/>
    <w:rsid w:val="006272F0"/>
    <w:rsid w:val="00631DB7"/>
    <w:rsid w:val="00633BDD"/>
    <w:rsid w:val="00642834"/>
    <w:rsid w:val="00644AA7"/>
    <w:rsid w:val="006452EF"/>
    <w:rsid w:val="006466F8"/>
    <w:rsid w:val="006572B4"/>
    <w:rsid w:val="00663853"/>
    <w:rsid w:val="006638FC"/>
    <w:rsid w:val="00664690"/>
    <w:rsid w:val="006650D7"/>
    <w:rsid w:val="006665FE"/>
    <w:rsid w:val="0066691B"/>
    <w:rsid w:val="0066734E"/>
    <w:rsid w:val="00681B89"/>
    <w:rsid w:val="00685564"/>
    <w:rsid w:val="00685AAA"/>
    <w:rsid w:val="00686283"/>
    <w:rsid w:val="00687D42"/>
    <w:rsid w:val="00690A84"/>
    <w:rsid w:val="00692F50"/>
    <w:rsid w:val="00694A85"/>
    <w:rsid w:val="00697EE4"/>
    <w:rsid w:val="006A26B9"/>
    <w:rsid w:val="006A37DE"/>
    <w:rsid w:val="006A5E95"/>
    <w:rsid w:val="006B156E"/>
    <w:rsid w:val="006B35A0"/>
    <w:rsid w:val="006B61BB"/>
    <w:rsid w:val="006B6354"/>
    <w:rsid w:val="006B75BD"/>
    <w:rsid w:val="006B7BA9"/>
    <w:rsid w:val="006C00F7"/>
    <w:rsid w:val="006C5062"/>
    <w:rsid w:val="006D25A0"/>
    <w:rsid w:val="006D43C1"/>
    <w:rsid w:val="006D49B0"/>
    <w:rsid w:val="006D4FA8"/>
    <w:rsid w:val="006E0B9C"/>
    <w:rsid w:val="006E1820"/>
    <w:rsid w:val="006E3005"/>
    <w:rsid w:val="006F467C"/>
    <w:rsid w:val="006F5BDC"/>
    <w:rsid w:val="007125AA"/>
    <w:rsid w:val="00714C04"/>
    <w:rsid w:val="00715AD5"/>
    <w:rsid w:val="00725251"/>
    <w:rsid w:val="00727C64"/>
    <w:rsid w:val="00737F7C"/>
    <w:rsid w:val="007400A5"/>
    <w:rsid w:val="00742F0A"/>
    <w:rsid w:val="00745F62"/>
    <w:rsid w:val="007465E6"/>
    <w:rsid w:val="00756B67"/>
    <w:rsid w:val="00775704"/>
    <w:rsid w:val="00797ECB"/>
    <w:rsid w:val="007A1D19"/>
    <w:rsid w:val="007A7119"/>
    <w:rsid w:val="007B36F7"/>
    <w:rsid w:val="007B47AB"/>
    <w:rsid w:val="007B688B"/>
    <w:rsid w:val="007B703C"/>
    <w:rsid w:val="007C19D2"/>
    <w:rsid w:val="007C3AE0"/>
    <w:rsid w:val="007D5361"/>
    <w:rsid w:val="007E1002"/>
    <w:rsid w:val="007E25B6"/>
    <w:rsid w:val="007E47AF"/>
    <w:rsid w:val="007E582B"/>
    <w:rsid w:val="007F2201"/>
    <w:rsid w:val="007F3865"/>
    <w:rsid w:val="007F4D27"/>
    <w:rsid w:val="007F5655"/>
    <w:rsid w:val="008021F9"/>
    <w:rsid w:val="008118A7"/>
    <w:rsid w:val="00815E36"/>
    <w:rsid w:val="0082245A"/>
    <w:rsid w:val="00832A80"/>
    <w:rsid w:val="008377E5"/>
    <w:rsid w:val="00837DA3"/>
    <w:rsid w:val="008409D8"/>
    <w:rsid w:val="00843FE6"/>
    <w:rsid w:val="00844603"/>
    <w:rsid w:val="00845381"/>
    <w:rsid w:val="00845B0D"/>
    <w:rsid w:val="008461C2"/>
    <w:rsid w:val="0086220B"/>
    <w:rsid w:val="00862D1D"/>
    <w:rsid w:val="00866A44"/>
    <w:rsid w:val="008675A1"/>
    <w:rsid w:val="00871C94"/>
    <w:rsid w:val="008758B1"/>
    <w:rsid w:val="00875D94"/>
    <w:rsid w:val="00876A0F"/>
    <w:rsid w:val="00877281"/>
    <w:rsid w:val="00884F52"/>
    <w:rsid w:val="008868F7"/>
    <w:rsid w:val="008A07C5"/>
    <w:rsid w:val="008A5400"/>
    <w:rsid w:val="008A591C"/>
    <w:rsid w:val="008C6C84"/>
    <w:rsid w:val="008D4590"/>
    <w:rsid w:val="008D4688"/>
    <w:rsid w:val="008E7B36"/>
    <w:rsid w:val="008F1588"/>
    <w:rsid w:val="008F2528"/>
    <w:rsid w:val="008F65DC"/>
    <w:rsid w:val="00900678"/>
    <w:rsid w:val="00911392"/>
    <w:rsid w:val="00913F8B"/>
    <w:rsid w:val="00921AC2"/>
    <w:rsid w:val="009322BC"/>
    <w:rsid w:val="00937F5A"/>
    <w:rsid w:val="0094447F"/>
    <w:rsid w:val="00946D3E"/>
    <w:rsid w:val="009601B6"/>
    <w:rsid w:val="00966508"/>
    <w:rsid w:val="00981EC0"/>
    <w:rsid w:val="00985177"/>
    <w:rsid w:val="009958BD"/>
    <w:rsid w:val="009A2935"/>
    <w:rsid w:val="009A2B08"/>
    <w:rsid w:val="009A3029"/>
    <w:rsid w:val="009A3E47"/>
    <w:rsid w:val="009B1D29"/>
    <w:rsid w:val="009B482C"/>
    <w:rsid w:val="009C39A4"/>
    <w:rsid w:val="009C5E90"/>
    <w:rsid w:val="009C7D93"/>
    <w:rsid w:val="009E0532"/>
    <w:rsid w:val="009E2396"/>
    <w:rsid w:val="009F33FF"/>
    <w:rsid w:val="00A01D15"/>
    <w:rsid w:val="00A0718A"/>
    <w:rsid w:val="00A31574"/>
    <w:rsid w:val="00A35A68"/>
    <w:rsid w:val="00A37FE8"/>
    <w:rsid w:val="00A52ED7"/>
    <w:rsid w:val="00A54459"/>
    <w:rsid w:val="00A67C4E"/>
    <w:rsid w:val="00A75420"/>
    <w:rsid w:val="00A82A28"/>
    <w:rsid w:val="00A846FF"/>
    <w:rsid w:val="00A9429B"/>
    <w:rsid w:val="00AA1ADF"/>
    <w:rsid w:val="00AA5F15"/>
    <w:rsid w:val="00AA6693"/>
    <w:rsid w:val="00AB0E08"/>
    <w:rsid w:val="00AB318A"/>
    <w:rsid w:val="00AB4863"/>
    <w:rsid w:val="00AB5539"/>
    <w:rsid w:val="00AB5A0D"/>
    <w:rsid w:val="00AD2C11"/>
    <w:rsid w:val="00B1290B"/>
    <w:rsid w:val="00B26C33"/>
    <w:rsid w:val="00B34520"/>
    <w:rsid w:val="00B34DAD"/>
    <w:rsid w:val="00B474A6"/>
    <w:rsid w:val="00B53C87"/>
    <w:rsid w:val="00B5405A"/>
    <w:rsid w:val="00B6558E"/>
    <w:rsid w:val="00B751C4"/>
    <w:rsid w:val="00B7525A"/>
    <w:rsid w:val="00B772C7"/>
    <w:rsid w:val="00B83B4A"/>
    <w:rsid w:val="00B86472"/>
    <w:rsid w:val="00B86492"/>
    <w:rsid w:val="00B95687"/>
    <w:rsid w:val="00B96E51"/>
    <w:rsid w:val="00BA3910"/>
    <w:rsid w:val="00BB1CD8"/>
    <w:rsid w:val="00BC0879"/>
    <w:rsid w:val="00BE0344"/>
    <w:rsid w:val="00BF67FA"/>
    <w:rsid w:val="00BF6B89"/>
    <w:rsid w:val="00BF7D3F"/>
    <w:rsid w:val="00C00FBC"/>
    <w:rsid w:val="00C063DF"/>
    <w:rsid w:val="00C11C67"/>
    <w:rsid w:val="00C130E8"/>
    <w:rsid w:val="00C142B3"/>
    <w:rsid w:val="00C1589A"/>
    <w:rsid w:val="00C17160"/>
    <w:rsid w:val="00C2047C"/>
    <w:rsid w:val="00C2125B"/>
    <w:rsid w:val="00C21922"/>
    <w:rsid w:val="00C21B34"/>
    <w:rsid w:val="00C416FA"/>
    <w:rsid w:val="00C52762"/>
    <w:rsid w:val="00C53009"/>
    <w:rsid w:val="00C55483"/>
    <w:rsid w:val="00C57853"/>
    <w:rsid w:val="00C60654"/>
    <w:rsid w:val="00C645D8"/>
    <w:rsid w:val="00C648B5"/>
    <w:rsid w:val="00C64F6F"/>
    <w:rsid w:val="00C70BA8"/>
    <w:rsid w:val="00C72430"/>
    <w:rsid w:val="00C92919"/>
    <w:rsid w:val="00CA1AA0"/>
    <w:rsid w:val="00CB7227"/>
    <w:rsid w:val="00CC182F"/>
    <w:rsid w:val="00CC256F"/>
    <w:rsid w:val="00CC3B4B"/>
    <w:rsid w:val="00CC4F71"/>
    <w:rsid w:val="00CC7616"/>
    <w:rsid w:val="00CD25CF"/>
    <w:rsid w:val="00CD3D3B"/>
    <w:rsid w:val="00CD661F"/>
    <w:rsid w:val="00CF37A1"/>
    <w:rsid w:val="00CF5CEF"/>
    <w:rsid w:val="00D07D40"/>
    <w:rsid w:val="00D13C57"/>
    <w:rsid w:val="00D13F12"/>
    <w:rsid w:val="00D14248"/>
    <w:rsid w:val="00D14591"/>
    <w:rsid w:val="00D1560C"/>
    <w:rsid w:val="00D15B8D"/>
    <w:rsid w:val="00D165EC"/>
    <w:rsid w:val="00D20D8D"/>
    <w:rsid w:val="00D231B9"/>
    <w:rsid w:val="00D23CC3"/>
    <w:rsid w:val="00D40E7F"/>
    <w:rsid w:val="00D466A9"/>
    <w:rsid w:val="00D46791"/>
    <w:rsid w:val="00D54FCC"/>
    <w:rsid w:val="00D70918"/>
    <w:rsid w:val="00D7106D"/>
    <w:rsid w:val="00D71A82"/>
    <w:rsid w:val="00D95087"/>
    <w:rsid w:val="00DA646C"/>
    <w:rsid w:val="00DB64E9"/>
    <w:rsid w:val="00DB770B"/>
    <w:rsid w:val="00DC394B"/>
    <w:rsid w:val="00DD5B88"/>
    <w:rsid w:val="00DD739F"/>
    <w:rsid w:val="00DE2CF6"/>
    <w:rsid w:val="00DE6A3D"/>
    <w:rsid w:val="00DE6F59"/>
    <w:rsid w:val="00DE733F"/>
    <w:rsid w:val="00DE76A5"/>
    <w:rsid w:val="00DF0BF2"/>
    <w:rsid w:val="00DF26F6"/>
    <w:rsid w:val="00DF3A50"/>
    <w:rsid w:val="00E05CBF"/>
    <w:rsid w:val="00E07992"/>
    <w:rsid w:val="00E11050"/>
    <w:rsid w:val="00E161AF"/>
    <w:rsid w:val="00E30C23"/>
    <w:rsid w:val="00E319EB"/>
    <w:rsid w:val="00E33944"/>
    <w:rsid w:val="00E42C1F"/>
    <w:rsid w:val="00E507A1"/>
    <w:rsid w:val="00E51F1D"/>
    <w:rsid w:val="00E5258F"/>
    <w:rsid w:val="00E56372"/>
    <w:rsid w:val="00E64BA5"/>
    <w:rsid w:val="00E70B1C"/>
    <w:rsid w:val="00E72FE5"/>
    <w:rsid w:val="00E733DD"/>
    <w:rsid w:val="00E73416"/>
    <w:rsid w:val="00E75DD8"/>
    <w:rsid w:val="00E819E5"/>
    <w:rsid w:val="00E81A05"/>
    <w:rsid w:val="00E8309E"/>
    <w:rsid w:val="00E86FCF"/>
    <w:rsid w:val="00E956D1"/>
    <w:rsid w:val="00E95E41"/>
    <w:rsid w:val="00EA0D94"/>
    <w:rsid w:val="00EA1658"/>
    <w:rsid w:val="00EA2DD4"/>
    <w:rsid w:val="00EA661B"/>
    <w:rsid w:val="00EA7079"/>
    <w:rsid w:val="00EB1005"/>
    <w:rsid w:val="00EB336A"/>
    <w:rsid w:val="00EB46CA"/>
    <w:rsid w:val="00EC2568"/>
    <w:rsid w:val="00EC432D"/>
    <w:rsid w:val="00EC5391"/>
    <w:rsid w:val="00EC5621"/>
    <w:rsid w:val="00EC5982"/>
    <w:rsid w:val="00ED4101"/>
    <w:rsid w:val="00ED6661"/>
    <w:rsid w:val="00EF2183"/>
    <w:rsid w:val="00EF6821"/>
    <w:rsid w:val="00F13E48"/>
    <w:rsid w:val="00F175DD"/>
    <w:rsid w:val="00F23C66"/>
    <w:rsid w:val="00F25E5A"/>
    <w:rsid w:val="00F41625"/>
    <w:rsid w:val="00F41FEA"/>
    <w:rsid w:val="00F445BE"/>
    <w:rsid w:val="00F462F5"/>
    <w:rsid w:val="00F4766C"/>
    <w:rsid w:val="00F47BA9"/>
    <w:rsid w:val="00F55A78"/>
    <w:rsid w:val="00F56E55"/>
    <w:rsid w:val="00F64ADD"/>
    <w:rsid w:val="00F65317"/>
    <w:rsid w:val="00F6715E"/>
    <w:rsid w:val="00F700FC"/>
    <w:rsid w:val="00F75A9F"/>
    <w:rsid w:val="00F8078D"/>
    <w:rsid w:val="00F80C43"/>
    <w:rsid w:val="00F85F5C"/>
    <w:rsid w:val="00F9059C"/>
    <w:rsid w:val="00F943D0"/>
    <w:rsid w:val="00F944A6"/>
    <w:rsid w:val="00FB2C53"/>
    <w:rsid w:val="00FD4356"/>
    <w:rsid w:val="00FD46DF"/>
    <w:rsid w:val="00FD5FB6"/>
    <w:rsid w:val="00FE21E7"/>
    <w:rsid w:val="00FE26F7"/>
    <w:rsid w:val="00FE51FD"/>
    <w:rsid w:val="00FE5DEB"/>
    <w:rsid w:val="00FE7C53"/>
    <w:rsid w:val="00FF2C4D"/>
    <w:rsid w:val="00FF32A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620747"/>
  <w15:docId w15:val="{0CE32D3B-8827-324C-A373-9410E65B6C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2D3B0E"/>
    <w:rPr>
      <w:rFonts w:ascii="Times New Roman" w:eastAsia="Times New Roman" w:hAnsi="Times New Roman" w:cs="Times New Roman"/>
      <w:lang w:eastAsia="it-IT"/>
    </w:rPr>
  </w:style>
  <w:style w:type="paragraph" w:styleId="Titolo1">
    <w:name w:val="heading 1"/>
    <w:basedOn w:val="Normale"/>
    <w:next w:val="Normale"/>
    <w:link w:val="Titolo1Carattere"/>
    <w:uiPriority w:val="9"/>
    <w:qFormat/>
    <w:rsid w:val="001846C7"/>
    <w:pPr>
      <w:keepNext/>
      <w:keepLines/>
      <w:spacing w:before="240"/>
      <w:outlineLvl w:val="0"/>
    </w:pPr>
    <w:rPr>
      <w:rFonts w:asciiTheme="majorHAnsi" w:eastAsiaTheme="majorEastAsia" w:hAnsiTheme="majorHAnsi" w:cstheme="majorBidi"/>
      <w:color w:val="2F5496" w:themeColor="accent1" w:themeShade="BF"/>
      <w:sz w:val="32"/>
      <w:szCs w:val="32"/>
      <w:lang w:eastAsia="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Enfasigrassetto">
    <w:name w:val="Strong"/>
    <w:basedOn w:val="Carpredefinitoparagrafo"/>
    <w:uiPriority w:val="22"/>
    <w:qFormat/>
    <w:rsid w:val="00B95687"/>
    <w:rPr>
      <w:b/>
      <w:bCs/>
    </w:rPr>
  </w:style>
  <w:style w:type="paragraph" w:styleId="NormaleWeb">
    <w:name w:val="Normal (Web)"/>
    <w:basedOn w:val="Normale"/>
    <w:uiPriority w:val="99"/>
    <w:semiHidden/>
    <w:unhideWhenUsed/>
    <w:rsid w:val="00B95687"/>
    <w:pPr>
      <w:spacing w:before="100" w:beforeAutospacing="1" w:after="100" w:afterAutospacing="1"/>
    </w:pPr>
  </w:style>
  <w:style w:type="character" w:styleId="Enfasicorsivo">
    <w:name w:val="Emphasis"/>
    <w:basedOn w:val="Carpredefinitoparagrafo"/>
    <w:uiPriority w:val="20"/>
    <w:qFormat/>
    <w:rsid w:val="00B95687"/>
    <w:rPr>
      <w:i/>
      <w:iCs/>
    </w:rPr>
  </w:style>
  <w:style w:type="character" w:styleId="Collegamentoipertestuale">
    <w:name w:val="Hyperlink"/>
    <w:basedOn w:val="Carpredefinitoparagrafo"/>
    <w:uiPriority w:val="99"/>
    <w:unhideWhenUsed/>
    <w:rsid w:val="00B95687"/>
    <w:rPr>
      <w:color w:val="0000FF"/>
      <w:u w:val="single"/>
    </w:rPr>
  </w:style>
  <w:style w:type="character" w:customStyle="1" w:styleId="Titolo1Carattere">
    <w:name w:val="Titolo 1 Carattere"/>
    <w:basedOn w:val="Carpredefinitoparagrafo"/>
    <w:link w:val="Titolo1"/>
    <w:uiPriority w:val="9"/>
    <w:rsid w:val="001846C7"/>
    <w:rPr>
      <w:rFonts w:asciiTheme="majorHAnsi" w:eastAsiaTheme="majorEastAsia" w:hAnsiTheme="majorHAnsi" w:cstheme="majorBidi"/>
      <w:color w:val="2F5496" w:themeColor="accent1" w:themeShade="BF"/>
      <w:sz w:val="32"/>
      <w:szCs w:val="32"/>
    </w:rPr>
  </w:style>
  <w:style w:type="paragraph" w:styleId="Revisione">
    <w:name w:val="Revision"/>
    <w:hidden/>
    <w:uiPriority w:val="99"/>
    <w:semiHidden/>
    <w:rsid w:val="00DE6F59"/>
  </w:style>
  <w:style w:type="character" w:styleId="Rimandocommento">
    <w:name w:val="annotation reference"/>
    <w:basedOn w:val="Carpredefinitoparagrafo"/>
    <w:uiPriority w:val="99"/>
    <w:semiHidden/>
    <w:unhideWhenUsed/>
    <w:rsid w:val="00310EB9"/>
    <w:rPr>
      <w:sz w:val="16"/>
      <w:szCs w:val="16"/>
    </w:rPr>
  </w:style>
  <w:style w:type="paragraph" w:styleId="Testocommento">
    <w:name w:val="annotation text"/>
    <w:basedOn w:val="Normale"/>
    <w:link w:val="TestocommentoCarattere"/>
    <w:uiPriority w:val="99"/>
    <w:semiHidden/>
    <w:unhideWhenUsed/>
    <w:rsid w:val="00310EB9"/>
    <w:rPr>
      <w:rFonts w:asciiTheme="minorHAnsi" w:eastAsiaTheme="minorHAnsi" w:hAnsiTheme="minorHAnsi" w:cstheme="minorBidi"/>
      <w:sz w:val="20"/>
      <w:szCs w:val="20"/>
      <w:lang w:eastAsia="en-US"/>
    </w:rPr>
  </w:style>
  <w:style w:type="character" w:customStyle="1" w:styleId="TestocommentoCarattere">
    <w:name w:val="Testo commento Carattere"/>
    <w:basedOn w:val="Carpredefinitoparagrafo"/>
    <w:link w:val="Testocommento"/>
    <w:uiPriority w:val="99"/>
    <w:semiHidden/>
    <w:rsid w:val="00310EB9"/>
    <w:rPr>
      <w:sz w:val="20"/>
      <w:szCs w:val="20"/>
    </w:rPr>
  </w:style>
  <w:style w:type="paragraph" w:styleId="Soggettocommento">
    <w:name w:val="annotation subject"/>
    <w:basedOn w:val="Testocommento"/>
    <w:next w:val="Testocommento"/>
    <w:link w:val="SoggettocommentoCarattere"/>
    <w:uiPriority w:val="99"/>
    <w:semiHidden/>
    <w:unhideWhenUsed/>
    <w:rsid w:val="00310EB9"/>
    <w:rPr>
      <w:b/>
      <w:bCs/>
    </w:rPr>
  </w:style>
  <w:style w:type="character" w:customStyle="1" w:styleId="SoggettocommentoCarattere">
    <w:name w:val="Soggetto commento Carattere"/>
    <w:basedOn w:val="TestocommentoCarattere"/>
    <w:link w:val="Soggettocommento"/>
    <w:uiPriority w:val="99"/>
    <w:semiHidden/>
    <w:rsid w:val="00310EB9"/>
    <w:rPr>
      <w:b/>
      <w:bCs/>
      <w:sz w:val="20"/>
      <w:szCs w:val="20"/>
    </w:rPr>
  </w:style>
  <w:style w:type="paragraph" w:styleId="Paragrafoelenco">
    <w:name w:val="List Paragraph"/>
    <w:basedOn w:val="Normale"/>
    <w:uiPriority w:val="34"/>
    <w:qFormat/>
    <w:rsid w:val="00E75DD8"/>
    <w:pPr>
      <w:ind w:left="720"/>
      <w:contextualSpacing/>
    </w:pPr>
    <w:rPr>
      <w:rFonts w:asciiTheme="minorHAnsi" w:eastAsiaTheme="minorHAnsi" w:hAnsiTheme="minorHAnsi" w:cstheme="minorBidi"/>
      <w:lang w:eastAsia="en-US"/>
    </w:rPr>
  </w:style>
  <w:style w:type="paragraph" w:styleId="Testofumetto">
    <w:name w:val="Balloon Text"/>
    <w:basedOn w:val="Normale"/>
    <w:link w:val="TestofumettoCarattere"/>
    <w:uiPriority w:val="99"/>
    <w:semiHidden/>
    <w:unhideWhenUsed/>
    <w:rsid w:val="00D40E7F"/>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D40E7F"/>
    <w:rPr>
      <w:rFonts w:ascii="Tahoma" w:hAnsi="Tahoma" w:cs="Tahoma"/>
      <w:sz w:val="16"/>
      <w:szCs w:val="16"/>
    </w:rPr>
  </w:style>
  <w:style w:type="character" w:customStyle="1" w:styleId="gi">
    <w:name w:val="gi"/>
    <w:basedOn w:val="Carpredefinitoparagrafo"/>
    <w:rsid w:val="005C5F78"/>
  </w:style>
  <w:style w:type="character" w:customStyle="1" w:styleId="s7">
    <w:name w:val="s7"/>
    <w:basedOn w:val="Carpredefinitoparagrafo"/>
    <w:rsid w:val="008D4688"/>
  </w:style>
  <w:style w:type="character" w:customStyle="1" w:styleId="apple-converted-space">
    <w:name w:val="apple-converted-space"/>
    <w:basedOn w:val="Carpredefinitoparagrafo"/>
    <w:rsid w:val="008D4688"/>
  </w:style>
  <w:style w:type="character" w:customStyle="1" w:styleId="s6">
    <w:name w:val="s6"/>
    <w:basedOn w:val="Carpredefinitoparagrafo"/>
    <w:rsid w:val="008D4688"/>
  </w:style>
  <w:style w:type="table" w:customStyle="1" w:styleId="Grilledutableau1">
    <w:name w:val="Grille du tableau1"/>
    <w:basedOn w:val="Tabellanormale"/>
    <w:next w:val="Grigliatabella"/>
    <w:uiPriority w:val="59"/>
    <w:rsid w:val="00775704"/>
    <w:rPr>
      <w:sz w:val="22"/>
      <w:szCs w:val="22"/>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gliatabella">
    <w:name w:val="Table Grid"/>
    <w:basedOn w:val="Tabellanormale"/>
    <w:uiPriority w:val="39"/>
    <w:rsid w:val="0077570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idipagina">
    <w:name w:val="footer"/>
    <w:basedOn w:val="Normale"/>
    <w:link w:val="PidipaginaCarattere"/>
    <w:uiPriority w:val="99"/>
    <w:unhideWhenUsed/>
    <w:rsid w:val="00A37FE8"/>
    <w:pPr>
      <w:tabs>
        <w:tab w:val="center" w:pos="4819"/>
        <w:tab w:val="right" w:pos="9638"/>
      </w:tabs>
    </w:pPr>
  </w:style>
  <w:style w:type="character" w:customStyle="1" w:styleId="PidipaginaCarattere">
    <w:name w:val="Piè di pagina Carattere"/>
    <w:basedOn w:val="Carpredefinitoparagrafo"/>
    <w:link w:val="Pidipagina"/>
    <w:uiPriority w:val="99"/>
    <w:rsid w:val="00A37FE8"/>
    <w:rPr>
      <w:rFonts w:ascii="Times New Roman" w:eastAsia="Times New Roman" w:hAnsi="Times New Roman" w:cs="Times New Roman"/>
      <w:lang w:eastAsia="it-IT"/>
    </w:rPr>
  </w:style>
  <w:style w:type="character" w:styleId="Numeropagina">
    <w:name w:val="page number"/>
    <w:basedOn w:val="Carpredefinitoparagrafo"/>
    <w:uiPriority w:val="99"/>
    <w:semiHidden/>
    <w:unhideWhenUsed/>
    <w:rsid w:val="00A37FE8"/>
  </w:style>
  <w:style w:type="paragraph" w:styleId="Intestazione">
    <w:name w:val="header"/>
    <w:basedOn w:val="Normale"/>
    <w:link w:val="IntestazioneCarattere"/>
    <w:uiPriority w:val="99"/>
    <w:unhideWhenUsed/>
    <w:rsid w:val="00A37FE8"/>
    <w:pPr>
      <w:tabs>
        <w:tab w:val="center" w:pos="4819"/>
        <w:tab w:val="right" w:pos="9638"/>
      </w:tabs>
    </w:pPr>
  </w:style>
  <w:style w:type="character" w:customStyle="1" w:styleId="IntestazioneCarattere">
    <w:name w:val="Intestazione Carattere"/>
    <w:basedOn w:val="Carpredefinitoparagrafo"/>
    <w:link w:val="Intestazione"/>
    <w:uiPriority w:val="99"/>
    <w:rsid w:val="00A37FE8"/>
    <w:rPr>
      <w:rFonts w:ascii="Times New Roman" w:eastAsia="Times New Roman" w:hAnsi="Times New Roman" w:cs="Times New Roman"/>
      <w:lang w:eastAsia="it-IT"/>
    </w:rPr>
  </w:style>
  <w:style w:type="paragraph" w:customStyle="1" w:styleId="s3">
    <w:name w:val="s3"/>
    <w:basedOn w:val="Normale"/>
    <w:rsid w:val="00EB336A"/>
    <w:pPr>
      <w:spacing w:before="100" w:beforeAutospacing="1" w:after="100" w:afterAutospacing="1"/>
    </w:pPr>
  </w:style>
  <w:style w:type="character" w:customStyle="1" w:styleId="s20">
    <w:name w:val="s20"/>
    <w:basedOn w:val="Carpredefinitoparagrafo"/>
    <w:rsid w:val="00EB336A"/>
  </w:style>
  <w:style w:type="character" w:customStyle="1" w:styleId="s22">
    <w:name w:val="s22"/>
    <w:basedOn w:val="Carpredefinitoparagrafo"/>
    <w:rsid w:val="00EB336A"/>
  </w:style>
  <w:style w:type="character" w:styleId="Menzionenonrisolta">
    <w:name w:val="Unresolved Mention"/>
    <w:basedOn w:val="Carpredefinitoparagrafo"/>
    <w:uiPriority w:val="99"/>
    <w:semiHidden/>
    <w:unhideWhenUsed/>
    <w:rsid w:val="00D1560C"/>
    <w:rPr>
      <w:color w:val="605E5C"/>
      <w:shd w:val="clear" w:color="auto" w:fill="E1DFDD"/>
    </w:rPr>
  </w:style>
  <w:style w:type="paragraph" w:customStyle="1" w:styleId="Bibliografia1">
    <w:name w:val="Bibliografia1"/>
    <w:basedOn w:val="Normale"/>
    <w:link w:val="BibliographyCarattere"/>
    <w:rsid w:val="006F467C"/>
    <w:pPr>
      <w:tabs>
        <w:tab w:val="left" w:pos="260"/>
      </w:tabs>
      <w:spacing w:after="240"/>
      <w:ind w:left="264" w:hanging="264"/>
    </w:pPr>
    <w:rPr>
      <w:rFonts w:ascii="Arial" w:hAnsi="Arial" w:cs="Arial"/>
      <w:b/>
      <w:bCs/>
      <w:sz w:val="28"/>
      <w:szCs w:val="28"/>
      <w:lang w:val="en-GB"/>
    </w:rPr>
  </w:style>
  <w:style w:type="character" w:customStyle="1" w:styleId="BibliographyCarattere">
    <w:name w:val="Bibliography Carattere"/>
    <w:basedOn w:val="Carpredefinitoparagrafo"/>
    <w:link w:val="Bibliografia1"/>
    <w:rsid w:val="006F467C"/>
    <w:rPr>
      <w:rFonts w:ascii="Arial" w:eastAsia="Times New Roman" w:hAnsi="Arial" w:cs="Arial"/>
      <w:b/>
      <w:bCs/>
      <w:sz w:val="28"/>
      <w:szCs w:val="28"/>
      <w:lang w:val="en-GB"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14180976">
      <w:bodyDiv w:val="1"/>
      <w:marLeft w:val="0"/>
      <w:marRight w:val="0"/>
      <w:marTop w:val="0"/>
      <w:marBottom w:val="0"/>
      <w:divBdr>
        <w:top w:val="none" w:sz="0" w:space="0" w:color="auto"/>
        <w:left w:val="none" w:sz="0" w:space="0" w:color="auto"/>
        <w:bottom w:val="none" w:sz="0" w:space="0" w:color="auto"/>
        <w:right w:val="none" w:sz="0" w:space="0" w:color="auto"/>
      </w:divBdr>
    </w:div>
    <w:div w:id="117458471">
      <w:bodyDiv w:val="1"/>
      <w:marLeft w:val="0"/>
      <w:marRight w:val="0"/>
      <w:marTop w:val="0"/>
      <w:marBottom w:val="0"/>
      <w:divBdr>
        <w:top w:val="none" w:sz="0" w:space="0" w:color="auto"/>
        <w:left w:val="none" w:sz="0" w:space="0" w:color="auto"/>
        <w:bottom w:val="none" w:sz="0" w:space="0" w:color="auto"/>
        <w:right w:val="none" w:sz="0" w:space="0" w:color="auto"/>
      </w:divBdr>
    </w:div>
    <w:div w:id="174921742">
      <w:bodyDiv w:val="1"/>
      <w:marLeft w:val="0"/>
      <w:marRight w:val="0"/>
      <w:marTop w:val="0"/>
      <w:marBottom w:val="0"/>
      <w:divBdr>
        <w:top w:val="none" w:sz="0" w:space="0" w:color="auto"/>
        <w:left w:val="none" w:sz="0" w:space="0" w:color="auto"/>
        <w:bottom w:val="none" w:sz="0" w:space="0" w:color="auto"/>
        <w:right w:val="none" w:sz="0" w:space="0" w:color="auto"/>
      </w:divBdr>
    </w:div>
    <w:div w:id="259683399">
      <w:bodyDiv w:val="1"/>
      <w:marLeft w:val="0"/>
      <w:marRight w:val="0"/>
      <w:marTop w:val="0"/>
      <w:marBottom w:val="0"/>
      <w:divBdr>
        <w:top w:val="none" w:sz="0" w:space="0" w:color="auto"/>
        <w:left w:val="none" w:sz="0" w:space="0" w:color="auto"/>
        <w:bottom w:val="none" w:sz="0" w:space="0" w:color="auto"/>
        <w:right w:val="none" w:sz="0" w:space="0" w:color="auto"/>
      </w:divBdr>
      <w:divsChild>
        <w:div w:id="905529333">
          <w:marLeft w:val="0"/>
          <w:marRight w:val="0"/>
          <w:marTop w:val="0"/>
          <w:marBottom w:val="0"/>
          <w:divBdr>
            <w:top w:val="none" w:sz="0" w:space="0" w:color="auto"/>
            <w:left w:val="none" w:sz="0" w:space="0" w:color="auto"/>
            <w:bottom w:val="none" w:sz="0" w:space="0" w:color="auto"/>
            <w:right w:val="none" w:sz="0" w:space="0" w:color="auto"/>
          </w:divBdr>
          <w:divsChild>
            <w:div w:id="234055729">
              <w:marLeft w:val="0"/>
              <w:marRight w:val="0"/>
              <w:marTop w:val="0"/>
              <w:marBottom w:val="0"/>
              <w:divBdr>
                <w:top w:val="none" w:sz="0" w:space="0" w:color="auto"/>
                <w:left w:val="none" w:sz="0" w:space="0" w:color="auto"/>
                <w:bottom w:val="none" w:sz="0" w:space="0" w:color="auto"/>
                <w:right w:val="none" w:sz="0" w:space="0" w:color="auto"/>
              </w:divBdr>
              <w:divsChild>
                <w:div w:id="731663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9187409">
      <w:bodyDiv w:val="1"/>
      <w:marLeft w:val="0"/>
      <w:marRight w:val="0"/>
      <w:marTop w:val="0"/>
      <w:marBottom w:val="0"/>
      <w:divBdr>
        <w:top w:val="none" w:sz="0" w:space="0" w:color="auto"/>
        <w:left w:val="none" w:sz="0" w:space="0" w:color="auto"/>
        <w:bottom w:val="none" w:sz="0" w:space="0" w:color="auto"/>
        <w:right w:val="none" w:sz="0" w:space="0" w:color="auto"/>
      </w:divBdr>
    </w:div>
    <w:div w:id="710036710">
      <w:bodyDiv w:val="1"/>
      <w:marLeft w:val="0"/>
      <w:marRight w:val="0"/>
      <w:marTop w:val="0"/>
      <w:marBottom w:val="0"/>
      <w:divBdr>
        <w:top w:val="none" w:sz="0" w:space="0" w:color="auto"/>
        <w:left w:val="none" w:sz="0" w:space="0" w:color="auto"/>
        <w:bottom w:val="none" w:sz="0" w:space="0" w:color="auto"/>
        <w:right w:val="none" w:sz="0" w:space="0" w:color="auto"/>
      </w:divBdr>
      <w:divsChild>
        <w:div w:id="581567676">
          <w:marLeft w:val="0"/>
          <w:marRight w:val="0"/>
          <w:marTop w:val="0"/>
          <w:marBottom w:val="0"/>
          <w:divBdr>
            <w:top w:val="none" w:sz="0" w:space="0" w:color="auto"/>
            <w:left w:val="none" w:sz="0" w:space="0" w:color="auto"/>
            <w:bottom w:val="none" w:sz="0" w:space="0" w:color="auto"/>
            <w:right w:val="none" w:sz="0" w:space="0" w:color="auto"/>
          </w:divBdr>
          <w:divsChild>
            <w:div w:id="464129286">
              <w:marLeft w:val="0"/>
              <w:marRight w:val="0"/>
              <w:marTop w:val="0"/>
              <w:marBottom w:val="0"/>
              <w:divBdr>
                <w:top w:val="none" w:sz="0" w:space="0" w:color="auto"/>
                <w:left w:val="none" w:sz="0" w:space="0" w:color="auto"/>
                <w:bottom w:val="none" w:sz="0" w:space="0" w:color="auto"/>
                <w:right w:val="none" w:sz="0" w:space="0" w:color="auto"/>
              </w:divBdr>
              <w:divsChild>
                <w:div w:id="1777140917">
                  <w:marLeft w:val="0"/>
                  <w:marRight w:val="0"/>
                  <w:marTop w:val="0"/>
                  <w:marBottom w:val="0"/>
                  <w:divBdr>
                    <w:top w:val="none" w:sz="0" w:space="0" w:color="auto"/>
                    <w:left w:val="none" w:sz="0" w:space="0" w:color="auto"/>
                    <w:bottom w:val="none" w:sz="0" w:space="0" w:color="auto"/>
                    <w:right w:val="none" w:sz="0" w:space="0" w:color="auto"/>
                  </w:divBdr>
                  <w:divsChild>
                    <w:div w:id="13415448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42866011">
      <w:bodyDiv w:val="1"/>
      <w:marLeft w:val="0"/>
      <w:marRight w:val="0"/>
      <w:marTop w:val="0"/>
      <w:marBottom w:val="0"/>
      <w:divBdr>
        <w:top w:val="none" w:sz="0" w:space="0" w:color="auto"/>
        <w:left w:val="none" w:sz="0" w:space="0" w:color="auto"/>
        <w:bottom w:val="none" w:sz="0" w:space="0" w:color="auto"/>
        <w:right w:val="none" w:sz="0" w:space="0" w:color="auto"/>
      </w:divBdr>
      <w:divsChild>
        <w:div w:id="1978609546">
          <w:marLeft w:val="446"/>
          <w:marRight w:val="0"/>
          <w:marTop w:val="0"/>
          <w:marBottom w:val="0"/>
          <w:divBdr>
            <w:top w:val="none" w:sz="0" w:space="0" w:color="auto"/>
            <w:left w:val="none" w:sz="0" w:space="0" w:color="auto"/>
            <w:bottom w:val="none" w:sz="0" w:space="0" w:color="auto"/>
            <w:right w:val="none" w:sz="0" w:space="0" w:color="auto"/>
          </w:divBdr>
        </w:div>
        <w:div w:id="1340040973">
          <w:marLeft w:val="446"/>
          <w:marRight w:val="0"/>
          <w:marTop w:val="0"/>
          <w:marBottom w:val="0"/>
          <w:divBdr>
            <w:top w:val="none" w:sz="0" w:space="0" w:color="auto"/>
            <w:left w:val="none" w:sz="0" w:space="0" w:color="auto"/>
            <w:bottom w:val="none" w:sz="0" w:space="0" w:color="auto"/>
            <w:right w:val="none" w:sz="0" w:space="0" w:color="auto"/>
          </w:divBdr>
        </w:div>
        <w:div w:id="1710101827">
          <w:marLeft w:val="446"/>
          <w:marRight w:val="0"/>
          <w:marTop w:val="0"/>
          <w:marBottom w:val="0"/>
          <w:divBdr>
            <w:top w:val="none" w:sz="0" w:space="0" w:color="auto"/>
            <w:left w:val="none" w:sz="0" w:space="0" w:color="auto"/>
            <w:bottom w:val="none" w:sz="0" w:space="0" w:color="auto"/>
            <w:right w:val="none" w:sz="0" w:space="0" w:color="auto"/>
          </w:divBdr>
        </w:div>
      </w:divsChild>
    </w:div>
    <w:div w:id="890308174">
      <w:bodyDiv w:val="1"/>
      <w:marLeft w:val="0"/>
      <w:marRight w:val="0"/>
      <w:marTop w:val="0"/>
      <w:marBottom w:val="0"/>
      <w:divBdr>
        <w:top w:val="none" w:sz="0" w:space="0" w:color="auto"/>
        <w:left w:val="none" w:sz="0" w:space="0" w:color="auto"/>
        <w:bottom w:val="none" w:sz="0" w:space="0" w:color="auto"/>
        <w:right w:val="none" w:sz="0" w:space="0" w:color="auto"/>
      </w:divBdr>
    </w:div>
    <w:div w:id="962425294">
      <w:bodyDiv w:val="1"/>
      <w:marLeft w:val="0"/>
      <w:marRight w:val="0"/>
      <w:marTop w:val="0"/>
      <w:marBottom w:val="0"/>
      <w:divBdr>
        <w:top w:val="none" w:sz="0" w:space="0" w:color="auto"/>
        <w:left w:val="none" w:sz="0" w:space="0" w:color="auto"/>
        <w:bottom w:val="none" w:sz="0" w:space="0" w:color="auto"/>
        <w:right w:val="none" w:sz="0" w:space="0" w:color="auto"/>
      </w:divBdr>
    </w:div>
    <w:div w:id="988630994">
      <w:bodyDiv w:val="1"/>
      <w:marLeft w:val="0"/>
      <w:marRight w:val="0"/>
      <w:marTop w:val="0"/>
      <w:marBottom w:val="0"/>
      <w:divBdr>
        <w:top w:val="none" w:sz="0" w:space="0" w:color="auto"/>
        <w:left w:val="none" w:sz="0" w:space="0" w:color="auto"/>
        <w:bottom w:val="none" w:sz="0" w:space="0" w:color="auto"/>
        <w:right w:val="none" w:sz="0" w:space="0" w:color="auto"/>
      </w:divBdr>
    </w:div>
    <w:div w:id="1030453444">
      <w:bodyDiv w:val="1"/>
      <w:marLeft w:val="0"/>
      <w:marRight w:val="0"/>
      <w:marTop w:val="0"/>
      <w:marBottom w:val="0"/>
      <w:divBdr>
        <w:top w:val="none" w:sz="0" w:space="0" w:color="auto"/>
        <w:left w:val="none" w:sz="0" w:space="0" w:color="auto"/>
        <w:bottom w:val="none" w:sz="0" w:space="0" w:color="auto"/>
        <w:right w:val="none" w:sz="0" w:space="0" w:color="auto"/>
      </w:divBdr>
    </w:div>
    <w:div w:id="1143617257">
      <w:bodyDiv w:val="1"/>
      <w:marLeft w:val="0"/>
      <w:marRight w:val="0"/>
      <w:marTop w:val="0"/>
      <w:marBottom w:val="0"/>
      <w:divBdr>
        <w:top w:val="none" w:sz="0" w:space="0" w:color="auto"/>
        <w:left w:val="none" w:sz="0" w:space="0" w:color="auto"/>
        <w:bottom w:val="none" w:sz="0" w:space="0" w:color="auto"/>
        <w:right w:val="none" w:sz="0" w:space="0" w:color="auto"/>
      </w:divBdr>
    </w:div>
    <w:div w:id="1258251932">
      <w:bodyDiv w:val="1"/>
      <w:marLeft w:val="0"/>
      <w:marRight w:val="0"/>
      <w:marTop w:val="0"/>
      <w:marBottom w:val="0"/>
      <w:divBdr>
        <w:top w:val="none" w:sz="0" w:space="0" w:color="auto"/>
        <w:left w:val="none" w:sz="0" w:space="0" w:color="auto"/>
        <w:bottom w:val="none" w:sz="0" w:space="0" w:color="auto"/>
        <w:right w:val="none" w:sz="0" w:space="0" w:color="auto"/>
      </w:divBdr>
    </w:div>
    <w:div w:id="1400320226">
      <w:bodyDiv w:val="1"/>
      <w:marLeft w:val="0"/>
      <w:marRight w:val="0"/>
      <w:marTop w:val="0"/>
      <w:marBottom w:val="0"/>
      <w:divBdr>
        <w:top w:val="none" w:sz="0" w:space="0" w:color="auto"/>
        <w:left w:val="none" w:sz="0" w:space="0" w:color="auto"/>
        <w:bottom w:val="none" w:sz="0" w:space="0" w:color="auto"/>
        <w:right w:val="none" w:sz="0" w:space="0" w:color="auto"/>
      </w:divBdr>
      <w:divsChild>
        <w:div w:id="1264729258">
          <w:marLeft w:val="0"/>
          <w:marRight w:val="0"/>
          <w:marTop w:val="0"/>
          <w:marBottom w:val="0"/>
          <w:divBdr>
            <w:top w:val="none" w:sz="0" w:space="0" w:color="auto"/>
            <w:left w:val="none" w:sz="0" w:space="0" w:color="auto"/>
            <w:bottom w:val="none" w:sz="0" w:space="0" w:color="auto"/>
            <w:right w:val="none" w:sz="0" w:space="0" w:color="auto"/>
          </w:divBdr>
          <w:divsChild>
            <w:div w:id="495388261">
              <w:marLeft w:val="0"/>
              <w:marRight w:val="0"/>
              <w:marTop w:val="0"/>
              <w:marBottom w:val="0"/>
              <w:divBdr>
                <w:top w:val="none" w:sz="0" w:space="0" w:color="auto"/>
                <w:left w:val="none" w:sz="0" w:space="0" w:color="auto"/>
                <w:bottom w:val="none" w:sz="0" w:space="0" w:color="auto"/>
                <w:right w:val="none" w:sz="0" w:space="0" w:color="auto"/>
              </w:divBdr>
              <w:divsChild>
                <w:div w:id="826362364">
                  <w:marLeft w:val="0"/>
                  <w:marRight w:val="0"/>
                  <w:marTop w:val="0"/>
                  <w:marBottom w:val="0"/>
                  <w:divBdr>
                    <w:top w:val="none" w:sz="0" w:space="0" w:color="auto"/>
                    <w:left w:val="none" w:sz="0" w:space="0" w:color="auto"/>
                    <w:bottom w:val="none" w:sz="0" w:space="0" w:color="auto"/>
                    <w:right w:val="none" w:sz="0" w:space="0" w:color="auto"/>
                  </w:divBdr>
                </w:div>
                <w:div w:id="1109664050">
                  <w:marLeft w:val="0"/>
                  <w:marRight w:val="0"/>
                  <w:marTop w:val="0"/>
                  <w:marBottom w:val="0"/>
                  <w:divBdr>
                    <w:top w:val="none" w:sz="0" w:space="0" w:color="auto"/>
                    <w:left w:val="none" w:sz="0" w:space="0" w:color="auto"/>
                    <w:bottom w:val="none" w:sz="0" w:space="0" w:color="auto"/>
                    <w:right w:val="none" w:sz="0" w:space="0" w:color="auto"/>
                  </w:divBdr>
                  <w:divsChild>
                    <w:div w:id="2094858558">
                      <w:marLeft w:val="0"/>
                      <w:marRight w:val="0"/>
                      <w:marTop w:val="0"/>
                      <w:marBottom w:val="0"/>
                      <w:divBdr>
                        <w:top w:val="none" w:sz="0" w:space="0" w:color="auto"/>
                        <w:left w:val="none" w:sz="0" w:space="0" w:color="auto"/>
                        <w:bottom w:val="none" w:sz="0" w:space="0" w:color="auto"/>
                        <w:right w:val="none" w:sz="0" w:space="0" w:color="auto"/>
                      </w:divBdr>
                      <w:divsChild>
                        <w:div w:id="1449353306">
                          <w:marLeft w:val="0"/>
                          <w:marRight w:val="0"/>
                          <w:marTop w:val="0"/>
                          <w:marBottom w:val="0"/>
                          <w:divBdr>
                            <w:top w:val="none" w:sz="0" w:space="0" w:color="auto"/>
                            <w:left w:val="none" w:sz="0" w:space="0" w:color="auto"/>
                            <w:bottom w:val="none" w:sz="0" w:space="0" w:color="auto"/>
                            <w:right w:val="none" w:sz="0" w:space="0" w:color="auto"/>
                          </w:divBdr>
                          <w:divsChild>
                            <w:div w:id="16084668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52636431">
          <w:marLeft w:val="0"/>
          <w:marRight w:val="0"/>
          <w:marTop w:val="0"/>
          <w:marBottom w:val="0"/>
          <w:divBdr>
            <w:top w:val="none" w:sz="0" w:space="0" w:color="auto"/>
            <w:left w:val="none" w:sz="0" w:space="0" w:color="auto"/>
            <w:bottom w:val="none" w:sz="0" w:space="0" w:color="auto"/>
            <w:right w:val="none" w:sz="0" w:space="0" w:color="auto"/>
          </w:divBdr>
          <w:divsChild>
            <w:div w:id="176968012">
              <w:marLeft w:val="0"/>
              <w:marRight w:val="0"/>
              <w:marTop w:val="0"/>
              <w:marBottom w:val="0"/>
              <w:divBdr>
                <w:top w:val="none" w:sz="0" w:space="0" w:color="auto"/>
                <w:left w:val="none" w:sz="0" w:space="0" w:color="auto"/>
                <w:bottom w:val="none" w:sz="0" w:space="0" w:color="auto"/>
                <w:right w:val="none" w:sz="0" w:space="0" w:color="auto"/>
              </w:divBdr>
              <w:divsChild>
                <w:div w:id="1359039780">
                  <w:marLeft w:val="0"/>
                  <w:marRight w:val="0"/>
                  <w:marTop w:val="0"/>
                  <w:marBottom w:val="0"/>
                  <w:divBdr>
                    <w:top w:val="none" w:sz="0" w:space="0" w:color="auto"/>
                    <w:left w:val="none" w:sz="0" w:space="0" w:color="auto"/>
                    <w:bottom w:val="none" w:sz="0" w:space="0" w:color="auto"/>
                    <w:right w:val="none" w:sz="0" w:space="0" w:color="auto"/>
                  </w:divBdr>
                </w:div>
                <w:div w:id="195234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2727608">
      <w:bodyDiv w:val="1"/>
      <w:marLeft w:val="0"/>
      <w:marRight w:val="0"/>
      <w:marTop w:val="0"/>
      <w:marBottom w:val="0"/>
      <w:divBdr>
        <w:top w:val="none" w:sz="0" w:space="0" w:color="auto"/>
        <w:left w:val="none" w:sz="0" w:space="0" w:color="auto"/>
        <w:bottom w:val="none" w:sz="0" w:space="0" w:color="auto"/>
        <w:right w:val="none" w:sz="0" w:space="0" w:color="auto"/>
      </w:divBdr>
    </w:div>
    <w:div w:id="1508014653">
      <w:bodyDiv w:val="1"/>
      <w:marLeft w:val="0"/>
      <w:marRight w:val="0"/>
      <w:marTop w:val="0"/>
      <w:marBottom w:val="0"/>
      <w:divBdr>
        <w:top w:val="none" w:sz="0" w:space="0" w:color="auto"/>
        <w:left w:val="none" w:sz="0" w:space="0" w:color="auto"/>
        <w:bottom w:val="none" w:sz="0" w:space="0" w:color="auto"/>
        <w:right w:val="none" w:sz="0" w:space="0" w:color="auto"/>
      </w:divBdr>
    </w:div>
    <w:div w:id="1598520245">
      <w:bodyDiv w:val="1"/>
      <w:marLeft w:val="0"/>
      <w:marRight w:val="0"/>
      <w:marTop w:val="0"/>
      <w:marBottom w:val="0"/>
      <w:divBdr>
        <w:top w:val="none" w:sz="0" w:space="0" w:color="auto"/>
        <w:left w:val="none" w:sz="0" w:space="0" w:color="auto"/>
        <w:bottom w:val="none" w:sz="0" w:space="0" w:color="auto"/>
        <w:right w:val="none" w:sz="0" w:space="0" w:color="auto"/>
      </w:divBdr>
    </w:div>
    <w:div w:id="1640765964">
      <w:bodyDiv w:val="1"/>
      <w:marLeft w:val="0"/>
      <w:marRight w:val="0"/>
      <w:marTop w:val="0"/>
      <w:marBottom w:val="0"/>
      <w:divBdr>
        <w:top w:val="none" w:sz="0" w:space="0" w:color="auto"/>
        <w:left w:val="none" w:sz="0" w:space="0" w:color="auto"/>
        <w:bottom w:val="none" w:sz="0" w:space="0" w:color="auto"/>
        <w:right w:val="none" w:sz="0" w:space="0" w:color="auto"/>
      </w:divBdr>
    </w:div>
    <w:div w:id="1651405527">
      <w:bodyDiv w:val="1"/>
      <w:marLeft w:val="0"/>
      <w:marRight w:val="0"/>
      <w:marTop w:val="0"/>
      <w:marBottom w:val="0"/>
      <w:divBdr>
        <w:top w:val="none" w:sz="0" w:space="0" w:color="auto"/>
        <w:left w:val="none" w:sz="0" w:space="0" w:color="auto"/>
        <w:bottom w:val="none" w:sz="0" w:space="0" w:color="auto"/>
        <w:right w:val="none" w:sz="0" w:space="0" w:color="auto"/>
      </w:divBdr>
    </w:div>
    <w:div w:id="1665623803">
      <w:bodyDiv w:val="1"/>
      <w:marLeft w:val="0"/>
      <w:marRight w:val="0"/>
      <w:marTop w:val="0"/>
      <w:marBottom w:val="0"/>
      <w:divBdr>
        <w:top w:val="none" w:sz="0" w:space="0" w:color="auto"/>
        <w:left w:val="none" w:sz="0" w:space="0" w:color="auto"/>
        <w:bottom w:val="none" w:sz="0" w:space="0" w:color="auto"/>
        <w:right w:val="none" w:sz="0" w:space="0" w:color="auto"/>
      </w:divBdr>
      <w:divsChild>
        <w:div w:id="1523275741">
          <w:marLeft w:val="0"/>
          <w:marRight w:val="0"/>
          <w:marTop w:val="0"/>
          <w:marBottom w:val="0"/>
          <w:divBdr>
            <w:top w:val="none" w:sz="0" w:space="0" w:color="auto"/>
            <w:left w:val="none" w:sz="0" w:space="0" w:color="auto"/>
            <w:bottom w:val="none" w:sz="0" w:space="0" w:color="auto"/>
            <w:right w:val="none" w:sz="0" w:space="0" w:color="auto"/>
          </w:divBdr>
        </w:div>
      </w:divsChild>
    </w:div>
    <w:div w:id="1792825459">
      <w:bodyDiv w:val="1"/>
      <w:marLeft w:val="0"/>
      <w:marRight w:val="0"/>
      <w:marTop w:val="0"/>
      <w:marBottom w:val="0"/>
      <w:divBdr>
        <w:top w:val="none" w:sz="0" w:space="0" w:color="auto"/>
        <w:left w:val="none" w:sz="0" w:space="0" w:color="auto"/>
        <w:bottom w:val="none" w:sz="0" w:space="0" w:color="auto"/>
        <w:right w:val="none" w:sz="0" w:space="0" w:color="auto"/>
      </w:divBdr>
    </w:div>
    <w:div w:id="1817407631">
      <w:bodyDiv w:val="1"/>
      <w:marLeft w:val="0"/>
      <w:marRight w:val="0"/>
      <w:marTop w:val="0"/>
      <w:marBottom w:val="0"/>
      <w:divBdr>
        <w:top w:val="none" w:sz="0" w:space="0" w:color="auto"/>
        <w:left w:val="none" w:sz="0" w:space="0" w:color="auto"/>
        <w:bottom w:val="none" w:sz="0" w:space="0" w:color="auto"/>
        <w:right w:val="none" w:sz="0" w:space="0" w:color="auto"/>
      </w:divBdr>
    </w:div>
    <w:div w:id="1829907026">
      <w:bodyDiv w:val="1"/>
      <w:marLeft w:val="0"/>
      <w:marRight w:val="0"/>
      <w:marTop w:val="0"/>
      <w:marBottom w:val="0"/>
      <w:divBdr>
        <w:top w:val="none" w:sz="0" w:space="0" w:color="auto"/>
        <w:left w:val="none" w:sz="0" w:space="0" w:color="auto"/>
        <w:bottom w:val="none" w:sz="0" w:space="0" w:color="auto"/>
        <w:right w:val="none" w:sz="0" w:space="0" w:color="auto"/>
      </w:divBdr>
    </w:div>
    <w:div w:id="1843474925">
      <w:bodyDiv w:val="1"/>
      <w:marLeft w:val="0"/>
      <w:marRight w:val="0"/>
      <w:marTop w:val="0"/>
      <w:marBottom w:val="0"/>
      <w:divBdr>
        <w:top w:val="none" w:sz="0" w:space="0" w:color="auto"/>
        <w:left w:val="none" w:sz="0" w:space="0" w:color="auto"/>
        <w:bottom w:val="none" w:sz="0" w:space="0" w:color="auto"/>
        <w:right w:val="none" w:sz="0" w:space="0" w:color="auto"/>
      </w:divBdr>
    </w:div>
    <w:div w:id="1856576259">
      <w:bodyDiv w:val="1"/>
      <w:marLeft w:val="0"/>
      <w:marRight w:val="0"/>
      <w:marTop w:val="0"/>
      <w:marBottom w:val="0"/>
      <w:divBdr>
        <w:top w:val="none" w:sz="0" w:space="0" w:color="auto"/>
        <w:left w:val="none" w:sz="0" w:space="0" w:color="auto"/>
        <w:bottom w:val="none" w:sz="0" w:space="0" w:color="auto"/>
        <w:right w:val="none" w:sz="0" w:space="0" w:color="auto"/>
      </w:divBdr>
    </w:div>
    <w:div w:id="1892113212">
      <w:bodyDiv w:val="1"/>
      <w:marLeft w:val="0"/>
      <w:marRight w:val="0"/>
      <w:marTop w:val="0"/>
      <w:marBottom w:val="0"/>
      <w:divBdr>
        <w:top w:val="none" w:sz="0" w:space="0" w:color="auto"/>
        <w:left w:val="none" w:sz="0" w:space="0" w:color="auto"/>
        <w:bottom w:val="none" w:sz="0" w:space="0" w:color="auto"/>
        <w:right w:val="none" w:sz="0" w:space="0" w:color="auto"/>
      </w:divBdr>
    </w:div>
    <w:div w:id="1950040475">
      <w:bodyDiv w:val="1"/>
      <w:marLeft w:val="0"/>
      <w:marRight w:val="0"/>
      <w:marTop w:val="0"/>
      <w:marBottom w:val="0"/>
      <w:divBdr>
        <w:top w:val="none" w:sz="0" w:space="0" w:color="auto"/>
        <w:left w:val="none" w:sz="0" w:space="0" w:color="auto"/>
        <w:bottom w:val="none" w:sz="0" w:space="0" w:color="auto"/>
        <w:right w:val="none" w:sz="0" w:space="0" w:color="auto"/>
      </w:divBdr>
    </w:div>
    <w:div w:id="1980257553">
      <w:bodyDiv w:val="1"/>
      <w:marLeft w:val="0"/>
      <w:marRight w:val="0"/>
      <w:marTop w:val="0"/>
      <w:marBottom w:val="0"/>
      <w:divBdr>
        <w:top w:val="none" w:sz="0" w:space="0" w:color="auto"/>
        <w:left w:val="none" w:sz="0" w:space="0" w:color="auto"/>
        <w:bottom w:val="none" w:sz="0" w:space="0" w:color="auto"/>
        <w:right w:val="none" w:sz="0" w:space="0" w:color="auto"/>
      </w:divBdr>
    </w:div>
    <w:div w:id="1985892737">
      <w:bodyDiv w:val="1"/>
      <w:marLeft w:val="0"/>
      <w:marRight w:val="0"/>
      <w:marTop w:val="0"/>
      <w:marBottom w:val="0"/>
      <w:divBdr>
        <w:top w:val="none" w:sz="0" w:space="0" w:color="auto"/>
        <w:left w:val="none" w:sz="0" w:space="0" w:color="auto"/>
        <w:bottom w:val="none" w:sz="0" w:space="0" w:color="auto"/>
        <w:right w:val="none" w:sz="0" w:space="0" w:color="auto"/>
      </w:divBdr>
    </w:div>
    <w:div w:id="2021393013">
      <w:bodyDiv w:val="1"/>
      <w:marLeft w:val="0"/>
      <w:marRight w:val="0"/>
      <w:marTop w:val="0"/>
      <w:marBottom w:val="0"/>
      <w:divBdr>
        <w:top w:val="none" w:sz="0" w:space="0" w:color="auto"/>
        <w:left w:val="none" w:sz="0" w:space="0" w:color="auto"/>
        <w:bottom w:val="none" w:sz="0" w:space="0" w:color="auto"/>
        <w:right w:val="none" w:sz="0" w:space="0" w:color="auto"/>
      </w:divBdr>
    </w:div>
    <w:div w:id="213686891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antonio.colecchia@unimore.it" TargetMode="External"/><Relationship Id="rId17" Type="http://schemas.openxmlformats.org/officeDocument/2006/relationships/theme" Target="theme/theme1.xml"/><Relationship Id="rId2" Type="http://schemas.openxmlformats.org/officeDocument/2006/relationships/numbering" Target="numbering.xml"/><Relationship Id="rId16" Type="http://schemas.microsoft.com/office/2011/relationships/people" Target="people.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8/08/relationships/commentsExtensible" Target="commentsExtensible.xml"/><Relationship Id="rId5" Type="http://schemas.openxmlformats.org/officeDocument/2006/relationships/webSettings" Target="webSettings.xml"/><Relationship Id="rId15" Type="http://schemas.openxmlformats.org/officeDocument/2006/relationships/fontTable" Target="fontTable.xml"/><Relationship Id="rId10" Type="http://schemas.microsoft.com/office/2016/09/relationships/commentsIds" Target="commentsIds.xm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footer" Target="footer2.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BD0428A8-882E-FB43-8155-07180BBFBAEC}">
  <we:reference id="f518cb36-c901-4d52-a9e7-4331342e485d" version="1.2.0.0" store="EXCatalog" storeType="EXCatalog"/>
  <we:alternateReferences>
    <we:reference id="WA200001011" version="1.2.0.0" store="it-IT"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ED82000-CCE6-496E-AD72-B22F220E53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18</Pages>
  <Words>28890</Words>
  <Characters>164673</Characters>
  <Application>Microsoft Office Word</Application>
  <DocSecurity>0</DocSecurity>
  <Lines>1372</Lines>
  <Paragraphs>386</Paragraphs>
  <ScaleCrop>false</ScaleCrop>
  <HeadingPairs>
    <vt:vector size="2" baseType="variant">
      <vt:variant>
        <vt:lpstr>Titolo</vt:lpstr>
      </vt:variant>
      <vt:variant>
        <vt:i4>1</vt:i4>
      </vt:variant>
    </vt:vector>
  </HeadingPairs>
  <TitlesOfParts>
    <vt:vector size="1" baseType="lpstr">
      <vt:lpstr/>
    </vt:vector>
  </TitlesOfParts>
  <Company>Department of Medical and Surgical Sciences (DIMEC)</Company>
  <LinksUpToDate>false</LinksUpToDate>
  <CharactersWithSpaces>193177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Federico Ravaioli</dc:creator>
  <cp:keywords/>
  <dc:description/>
  <cp:lastModifiedBy>Francesco Vizzutti</cp:lastModifiedBy>
  <cp:revision>2</cp:revision>
  <dcterms:created xsi:type="dcterms:W3CDTF">2025-06-04T15:25:00Z</dcterms:created>
  <dcterms:modified xsi:type="dcterms:W3CDTF">2025-06-04T15:25:00Z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5ded2e063e359ec1b91f6973dbe348f33ed64218dbd782856327bc2431703f0c</vt:lpwstr>
  </property>
  <property fmtid="{D5CDD505-2E9C-101B-9397-08002B2CF9AE}" pid="3" name="ZOTERO_PREF_1">
    <vt:lpwstr>&lt;data data-version="3" zotero-version="6.0.37"&gt;&lt;session id="EGqqGE1Q"/&gt;&lt;style id="http://www.zotero.org/styles/the-lancet" hasBibliography="1" bibliographyStyleHasBeenSet="1"/&gt;&lt;prefs&gt;&lt;pref name="fieldType" value="Field"/&gt;&lt;pref name="dontAskDelayCitationUp</vt:lpwstr>
  </property>
  <property fmtid="{D5CDD505-2E9C-101B-9397-08002B2CF9AE}" pid="4" name="ZOTERO_PREF_2">
    <vt:lpwstr>dates" value="true"/&gt;&lt;/prefs&gt;&lt;/data&gt;</vt:lpwstr>
  </property>
</Properties>
</file>