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3672E20" w14:textId="44A628C5" w:rsidR="00AD0064" w:rsidRPr="008A2765" w:rsidRDefault="00AD0064" w:rsidP="0063003D">
      <w:pPr>
        <w:rPr>
          <w:b/>
          <w:bCs/>
          <w:lang w:val="en-US"/>
        </w:rPr>
      </w:pPr>
      <w:r w:rsidRPr="008A2765">
        <w:rPr>
          <w:b/>
          <w:bCs/>
          <w:lang w:val="en-US"/>
        </w:rPr>
        <w:t>Replay to: Post-TIPS hemodynamic target adherence fails to improve outcomes in cirrhotic patients.</w:t>
      </w:r>
    </w:p>
    <w:p w14:paraId="690C88D1" w14:textId="77777777" w:rsidR="00AD0064" w:rsidRPr="00CC67C4" w:rsidRDefault="00AD0064">
      <w:pPr>
        <w:rPr>
          <w:lang w:val="en-GB"/>
        </w:rPr>
      </w:pPr>
    </w:p>
    <w:p w14:paraId="1E5D2934" w14:textId="221C4047" w:rsidR="00AD0064" w:rsidRDefault="00AD0064">
      <w:r>
        <w:t>Davide Roccarina</w:t>
      </w:r>
      <w:r w:rsidRPr="00AD0064">
        <w:rPr>
          <w:vertAlign w:val="superscript"/>
        </w:rPr>
        <w:t xml:space="preserve">1, </w:t>
      </w:r>
      <w:r w:rsidR="000D2B02">
        <w:rPr>
          <w:vertAlign w:val="superscript"/>
        </w:rPr>
        <w:t>2</w:t>
      </w:r>
      <w:r>
        <w:t>, Dario Saltini</w:t>
      </w:r>
      <w:r w:rsidR="000D2B02">
        <w:rPr>
          <w:vertAlign w:val="superscript"/>
        </w:rPr>
        <w:t>3</w:t>
      </w:r>
      <w:r>
        <w:t>, Marco Senzolo</w:t>
      </w:r>
      <w:r w:rsidR="000D2B02">
        <w:rPr>
          <w:vertAlign w:val="superscript"/>
        </w:rPr>
        <w:t>4</w:t>
      </w:r>
      <w:r>
        <w:t>, Silvia Nardelli</w:t>
      </w:r>
      <w:r w:rsidR="000D2B02">
        <w:rPr>
          <w:vertAlign w:val="superscript"/>
        </w:rPr>
        <w:t>5</w:t>
      </w:r>
      <w:r>
        <w:t>, Stefania Gioia</w:t>
      </w:r>
      <w:r w:rsidR="000D2B02">
        <w:rPr>
          <w:vertAlign w:val="superscript"/>
        </w:rPr>
        <w:t>5</w:t>
      </w:r>
      <w:r>
        <w:t>, Lara</w:t>
      </w:r>
      <w:r w:rsidR="000D2B02">
        <w:t xml:space="preserve"> </w:t>
      </w:r>
      <w:r>
        <w:t>Biribin</w:t>
      </w:r>
      <w:r w:rsidR="000D2B02">
        <w:rPr>
          <w:vertAlign w:val="superscript"/>
        </w:rPr>
        <w:t>4</w:t>
      </w:r>
      <w:r>
        <w:t>, Fabio Marra</w:t>
      </w:r>
      <w:r w:rsidR="000D2B02">
        <w:rPr>
          <w:vertAlign w:val="superscript"/>
        </w:rPr>
        <w:t>1</w:t>
      </w:r>
      <w:r w:rsidRPr="00AD0064">
        <w:rPr>
          <w:vertAlign w:val="superscript"/>
        </w:rPr>
        <w:t xml:space="preserve">, </w:t>
      </w:r>
      <w:r w:rsidR="000D2B02">
        <w:rPr>
          <w:vertAlign w:val="superscript"/>
        </w:rPr>
        <w:t>6</w:t>
      </w:r>
      <w:r>
        <w:t>, Filippo Schepis</w:t>
      </w:r>
      <w:r w:rsidR="000D2B02">
        <w:rPr>
          <w:vertAlign w:val="superscript"/>
        </w:rPr>
        <w:t>3</w:t>
      </w:r>
      <w:r w:rsidR="000D2B02">
        <w:t>,</w:t>
      </w:r>
      <w:r w:rsidR="000D2B02" w:rsidRPr="000D2B02">
        <w:t xml:space="preserve"> </w:t>
      </w:r>
      <w:r w:rsidR="000D2B02">
        <w:t>Francesco Vizzutti</w:t>
      </w:r>
      <w:r w:rsidR="000D2B02" w:rsidRPr="00AD0064">
        <w:rPr>
          <w:vertAlign w:val="superscript"/>
        </w:rPr>
        <w:t>1,</w:t>
      </w:r>
      <w:r w:rsidR="000D2B02">
        <w:rPr>
          <w:vertAlign w:val="superscript"/>
        </w:rPr>
        <w:t>7#</w:t>
      </w:r>
    </w:p>
    <w:p w14:paraId="6548996F" w14:textId="77777777" w:rsidR="00AD0064" w:rsidRPr="00CC67C4" w:rsidRDefault="00AD0064" w:rsidP="00AD0064">
      <w:pPr>
        <w:spacing w:line="480" w:lineRule="auto"/>
        <w:rPr>
          <w:rFonts w:eastAsia="Calibri" w:cstheme="minorHAnsi"/>
          <w:b/>
          <w:color w:val="000000" w:themeColor="text1"/>
          <w:vertAlign w:val="superscript"/>
        </w:rPr>
      </w:pPr>
    </w:p>
    <w:p w14:paraId="64407F09" w14:textId="2A9DB3DF" w:rsidR="00AD0064" w:rsidRDefault="00AD0064" w:rsidP="00AD0064">
      <w:pPr>
        <w:spacing w:line="480" w:lineRule="auto"/>
        <w:rPr>
          <w:rFonts w:eastAsia="Calibri" w:cstheme="minorHAnsi"/>
          <w:b/>
          <w:color w:val="000000" w:themeColor="text1"/>
          <w:lang w:val="en-GB"/>
        </w:rPr>
      </w:pPr>
      <w:r w:rsidRPr="00E07543">
        <w:rPr>
          <w:rFonts w:eastAsia="Calibri" w:cstheme="minorHAnsi"/>
          <w:b/>
          <w:color w:val="000000" w:themeColor="text1"/>
          <w:vertAlign w:val="superscript"/>
          <w:lang w:val="en-GB"/>
        </w:rPr>
        <w:t>#</w:t>
      </w:r>
      <w:r w:rsidRPr="00E07543">
        <w:rPr>
          <w:rFonts w:eastAsia="Calibri" w:cstheme="minorHAnsi"/>
          <w:b/>
          <w:color w:val="000000" w:themeColor="text1"/>
          <w:lang w:val="en-GB"/>
        </w:rPr>
        <w:t xml:space="preserve"> </w:t>
      </w:r>
      <w:r>
        <w:rPr>
          <w:rFonts w:eastAsia="Calibri" w:cstheme="minorHAnsi"/>
          <w:b/>
          <w:color w:val="000000" w:themeColor="text1"/>
          <w:lang w:val="en-GB"/>
        </w:rPr>
        <w:t>C</w:t>
      </w:r>
      <w:r w:rsidRPr="00E07543">
        <w:rPr>
          <w:rFonts w:eastAsia="Calibri" w:cstheme="minorHAnsi"/>
          <w:b/>
          <w:color w:val="000000" w:themeColor="text1"/>
          <w:lang w:val="en-GB"/>
        </w:rPr>
        <w:t>orresponding author</w:t>
      </w:r>
    </w:p>
    <w:p w14:paraId="4940798A" w14:textId="77777777" w:rsidR="00AD0064" w:rsidRPr="00E07543" w:rsidRDefault="00AD0064" w:rsidP="00AD0064">
      <w:pPr>
        <w:spacing w:line="480" w:lineRule="auto"/>
        <w:rPr>
          <w:rFonts w:eastAsia="Calibri" w:cstheme="minorHAnsi"/>
          <w:b/>
          <w:color w:val="000000" w:themeColor="text1"/>
          <w:lang w:val="en-GB"/>
        </w:rPr>
      </w:pPr>
    </w:p>
    <w:p w14:paraId="195672CF" w14:textId="75BA50CA" w:rsidR="00AD0064" w:rsidRDefault="00AD0064" w:rsidP="00AD0064">
      <w:pPr>
        <w:spacing w:line="480" w:lineRule="auto"/>
        <w:rPr>
          <w:rFonts w:eastAsia="Calibri" w:cstheme="minorHAnsi"/>
          <w:color w:val="000000" w:themeColor="text1"/>
          <w:lang w:val="en-GB"/>
        </w:rPr>
      </w:pPr>
      <w:r w:rsidRPr="00E07543">
        <w:rPr>
          <w:rFonts w:eastAsia="Calibri" w:cstheme="minorHAnsi"/>
          <w:color w:val="000000" w:themeColor="text1"/>
          <w:vertAlign w:val="superscript"/>
          <w:lang w:val="en-GB"/>
        </w:rPr>
        <w:t>1</w:t>
      </w:r>
      <w:r w:rsidR="00494B90">
        <w:rPr>
          <w:rFonts w:eastAsia="Calibri" w:cstheme="minorHAnsi"/>
          <w:color w:val="000000" w:themeColor="text1"/>
          <w:vertAlign w:val="superscript"/>
          <w:lang w:val="en-GB"/>
        </w:rPr>
        <w:t xml:space="preserve"> </w:t>
      </w:r>
      <w:r w:rsidRPr="00E07543">
        <w:rPr>
          <w:rFonts w:eastAsia="Calibri" w:cstheme="minorHAnsi"/>
          <w:color w:val="000000" w:themeColor="text1"/>
          <w:lang w:val="en-GB"/>
        </w:rPr>
        <w:t>Department of Experimental and Clinical Medicine, University of Florence, Florence, Italy.</w:t>
      </w:r>
    </w:p>
    <w:p w14:paraId="6FDC02F6" w14:textId="07BA52F7" w:rsidR="000D2B02" w:rsidRDefault="000D2B02" w:rsidP="00AD0064">
      <w:pPr>
        <w:spacing w:line="480" w:lineRule="auto"/>
        <w:rPr>
          <w:rFonts w:eastAsia="Calibri" w:cstheme="minorHAnsi"/>
          <w:color w:val="000000" w:themeColor="text1"/>
          <w:lang w:val="en-GB"/>
        </w:rPr>
      </w:pPr>
      <w:r>
        <w:rPr>
          <w:rFonts w:eastAsia="Calibri" w:cstheme="minorHAnsi"/>
          <w:color w:val="000000" w:themeColor="text1"/>
          <w:vertAlign w:val="superscript"/>
          <w:lang w:val="en-GB"/>
        </w:rPr>
        <w:t>2</w:t>
      </w:r>
      <w:r w:rsidR="00494B90">
        <w:rPr>
          <w:rFonts w:eastAsia="Calibri" w:cstheme="minorHAnsi"/>
          <w:color w:val="000000" w:themeColor="text1"/>
          <w:vertAlign w:val="superscript"/>
          <w:lang w:val="en-GB"/>
        </w:rPr>
        <w:t xml:space="preserve"> </w:t>
      </w:r>
      <w:r w:rsidRPr="00AD0064">
        <w:rPr>
          <w:rFonts w:cstheme="minorHAnsi"/>
          <w:color w:val="000000" w:themeColor="text1"/>
          <w:lang w:val="en-GB"/>
        </w:rPr>
        <w:t>Sheila Sherlock Liver Unit</w:t>
      </w:r>
      <w:r w:rsidRPr="00417EFA">
        <w:rPr>
          <w:rFonts w:cstheme="minorHAnsi"/>
          <w:lang w:val="en-GB"/>
        </w:rPr>
        <w:t xml:space="preserve"> a</w:t>
      </w:r>
      <w:r>
        <w:rPr>
          <w:rFonts w:cstheme="minorHAnsi"/>
          <w:lang w:val="en-GB"/>
        </w:rPr>
        <w:t xml:space="preserve">nd </w:t>
      </w:r>
      <w:r w:rsidRPr="00E57968">
        <w:rPr>
          <w:rFonts w:eastAsia="Calibri" w:cstheme="minorHAnsi"/>
          <w:color w:val="000000" w:themeColor="text1"/>
          <w:lang w:val="en-GB"/>
        </w:rPr>
        <w:t>UCL Institute for Liver and Digestive Health, Royal Free Hospital and UCL, London, UK.</w:t>
      </w:r>
    </w:p>
    <w:p w14:paraId="3CFBF1AD" w14:textId="5A472098" w:rsidR="000D2B02" w:rsidRPr="00E07543" w:rsidRDefault="000D2B02" w:rsidP="000D2B02">
      <w:pPr>
        <w:spacing w:line="480" w:lineRule="auto"/>
        <w:rPr>
          <w:rFonts w:eastAsia="Calibri" w:cstheme="minorHAnsi"/>
          <w:color w:val="000000" w:themeColor="text1"/>
          <w:lang w:val="en-GB"/>
        </w:rPr>
      </w:pPr>
      <w:r>
        <w:rPr>
          <w:rFonts w:eastAsia="Calibri" w:cstheme="minorHAnsi"/>
          <w:color w:val="000000" w:themeColor="text1"/>
          <w:vertAlign w:val="superscript"/>
          <w:lang w:val="en-GB"/>
        </w:rPr>
        <w:t>3</w:t>
      </w:r>
      <w:r w:rsidR="00494B90">
        <w:rPr>
          <w:rFonts w:eastAsia="Calibri" w:cstheme="minorHAnsi"/>
          <w:color w:val="000000" w:themeColor="text1"/>
          <w:vertAlign w:val="superscript"/>
          <w:lang w:val="en-GB"/>
        </w:rPr>
        <w:t xml:space="preserve"> </w:t>
      </w:r>
      <w:r w:rsidRPr="00E07543">
        <w:rPr>
          <w:rFonts w:eastAsia="Calibri" w:cstheme="minorHAnsi"/>
          <w:color w:val="000000" w:themeColor="text1"/>
          <w:lang w:val="en-GB"/>
        </w:rPr>
        <w:t xml:space="preserve">Severe Liver Diseases Departmental Unit (M.E.C.), AOU </w:t>
      </w:r>
      <w:proofErr w:type="spellStart"/>
      <w:r w:rsidRPr="00E07543">
        <w:rPr>
          <w:rFonts w:eastAsia="Calibri" w:cstheme="minorHAnsi"/>
          <w:color w:val="000000" w:themeColor="text1"/>
          <w:lang w:val="en-GB"/>
        </w:rPr>
        <w:t>Policlinico</w:t>
      </w:r>
      <w:proofErr w:type="spellEnd"/>
      <w:r w:rsidRPr="00E07543">
        <w:rPr>
          <w:rFonts w:eastAsia="Calibri" w:cstheme="minorHAnsi"/>
          <w:color w:val="000000" w:themeColor="text1"/>
          <w:lang w:val="en-GB"/>
        </w:rPr>
        <w:t xml:space="preserve"> of Modena, University of Modena and Reggio Emilia, Modena, Italy.</w:t>
      </w:r>
    </w:p>
    <w:p w14:paraId="1178C80B" w14:textId="65BE8D7F" w:rsidR="000D2B02" w:rsidRPr="00E07543" w:rsidRDefault="000D2B02" w:rsidP="000D2B02">
      <w:pPr>
        <w:spacing w:line="480" w:lineRule="auto"/>
        <w:rPr>
          <w:rFonts w:eastAsia="Calibri" w:cstheme="minorHAnsi"/>
          <w:color w:val="000000" w:themeColor="text1"/>
          <w:lang w:val="en-GB"/>
        </w:rPr>
      </w:pPr>
      <w:r>
        <w:rPr>
          <w:rFonts w:eastAsia="Calibri" w:cstheme="minorHAnsi"/>
          <w:color w:val="000000" w:themeColor="text1"/>
          <w:vertAlign w:val="superscript"/>
          <w:lang w:val="en-GB"/>
        </w:rPr>
        <w:t>4</w:t>
      </w:r>
      <w:r w:rsidR="00494B90">
        <w:rPr>
          <w:rFonts w:eastAsia="Calibri" w:cstheme="minorHAnsi"/>
          <w:color w:val="000000" w:themeColor="text1"/>
          <w:vertAlign w:val="superscript"/>
          <w:lang w:val="en-GB"/>
        </w:rPr>
        <w:t xml:space="preserve"> </w:t>
      </w:r>
      <w:r w:rsidRPr="001E3615">
        <w:rPr>
          <w:rFonts w:eastAsia="Calibri" w:cstheme="minorHAnsi"/>
          <w:color w:val="000000" w:themeColor="text1"/>
          <w:lang w:val="en-GB"/>
        </w:rPr>
        <w:t>Unit of Vascular Liver Diseases</w:t>
      </w:r>
      <w:r>
        <w:rPr>
          <w:rFonts w:eastAsia="Calibri" w:cstheme="minorHAnsi"/>
          <w:color w:val="000000" w:themeColor="text1"/>
          <w:vertAlign w:val="superscript"/>
          <w:lang w:val="en-GB"/>
        </w:rPr>
        <w:t xml:space="preserve"> </w:t>
      </w:r>
      <w:r>
        <w:rPr>
          <w:rFonts w:eastAsia="Calibri" w:cstheme="minorHAnsi"/>
          <w:color w:val="000000" w:themeColor="text1"/>
          <w:lang w:val="en-GB"/>
        </w:rPr>
        <w:t xml:space="preserve">and Treatment of Portal Hypertension, </w:t>
      </w:r>
      <w:r w:rsidRPr="00E07543">
        <w:rPr>
          <w:rFonts w:eastAsia="Calibri" w:cstheme="minorHAnsi"/>
          <w:color w:val="000000" w:themeColor="text1"/>
          <w:lang w:val="en-GB"/>
        </w:rPr>
        <w:t>Gastroenterology, Department of Surg</w:t>
      </w:r>
      <w:r>
        <w:rPr>
          <w:rFonts w:eastAsia="Calibri" w:cstheme="minorHAnsi"/>
          <w:color w:val="000000" w:themeColor="text1"/>
          <w:lang w:val="en-GB"/>
        </w:rPr>
        <w:t>ery,</w:t>
      </w:r>
      <w:r w:rsidRPr="00E07543">
        <w:rPr>
          <w:rFonts w:eastAsia="Calibri" w:cstheme="minorHAnsi"/>
          <w:color w:val="000000" w:themeColor="text1"/>
          <w:lang w:val="en-GB"/>
        </w:rPr>
        <w:t xml:space="preserve"> </w:t>
      </w:r>
      <w:r>
        <w:rPr>
          <w:rFonts w:eastAsia="Calibri" w:cstheme="minorHAnsi"/>
          <w:color w:val="000000" w:themeColor="text1"/>
          <w:lang w:val="en-GB"/>
        </w:rPr>
        <w:t xml:space="preserve">Oncology </w:t>
      </w:r>
      <w:r w:rsidRPr="00E07543">
        <w:rPr>
          <w:rFonts w:eastAsia="Calibri" w:cstheme="minorHAnsi"/>
          <w:color w:val="000000" w:themeColor="text1"/>
          <w:lang w:val="en-GB"/>
        </w:rPr>
        <w:t>and Gastroenterolog</w:t>
      </w:r>
      <w:r>
        <w:rPr>
          <w:rFonts w:eastAsia="Calibri" w:cstheme="minorHAnsi"/>
          <w:color w:val="000000" w:themeColor="text1"/>
          <w:lang w:val="en-GB"/>
        </w:rPr>
        <w:t>y</w:t>
      </w:r>
      <w:r w:rsidRPr="00E07543">
        <w:rPr>
          <w:rFonts w:eastAsia="Calibri" w:cstheme="minorHAnsi"/>
          <w:color w:val="000000" w:themeColor="text1"/>
          <w:lang w:val="en-GB"/>
        </w:rPr>
        <w:t>, University</w:t>
      </w:r>
      <w:r>
        <w:rPr>
          <w:rFonts w:eastAsia="Calibri" w:cstheme="minorHAnsi"/>
          <w:color w:val="000000" w:themeColor="text1"/>
          <w:lang w:val="en-GB"/>
        </w:rPr>
        <w:t>-Hospital</w:t>
      </w:r>
      <w:r w:rsidRPr="00E07543">
        <w:rPr>
          <w:rFonts w:eastAsia="Calibri" w:cstheme="minorHAnsi"/>
          <w:color w:val="000000" w:themeColor="text1"/>
          <w:lang w:val="en-GB"/>
        </w:rPr>
        <w:t xml:space="preserve"> of Padua, Padua, Italy. </w:t>
      </w:r>
    </w:p>
    <w:p w14:paraId="7F90B63D" w14:textId="08F6238D" w:rsidR="000D2B02" w:rsidRPr="00E07543" w:rsidRDefault="000D2B02" w:rsidP="000D2B02">
      <w:pPr>
        <w:spacing w:line="480" w:lineRule="auto"/>
        <w:rPr>
          <w:rFonts w:eastAsia="Calibri" w:cstheme="minorHAnsi"/>
          <w:color w:val="000000" w:themeColor="text1"/>
          <w:lang w:val="en-GB"/>
        </w:rPr>
      </w:pPr>
      <w:r>
        <w:rPr>
          <w:rFonts w:eastAsia="Calibri" w:cstheme="minorHAnsi"/>
          <w:color w:val="000000" w:themeColor="text1"/>
          <w:vertAlign w:val="superscript"/>
          <w:lang w:val="en-GB"/>
        </w:rPr>
        <w:t>5</w:t>
      </w:r>
      <w:r w:rsidR="00494B90">
        <w:rPr>
          <w:rFonts w:eastAsia="Calibri" w:cstheme="minorHAnsi"/>
          <w:color w:val="000000" w:themeColor="text1"/>
          <w:vertAlign w:val="superscript"/>
          <w:lang w:val="en-GB"/>
        </w:rPr>
        <w:t xml:space="preserve"> </w:t>
      </w:r>
      <w:r w:rsidRPr="00E07543">
        <w:rPr>
          <w:rFonts w:eastAsia="Calibri" w:cstheme="minorHAnsi"/>
          <w:color w:val="000000" w:themeColor="text1"/>
          <w:lang w:val="en-GB"/>
        </w:rPr>
        <w:t>Department of Translational and Precision Medicine, Sapienza University of Rome, Rome, Italy.</w:t>
      </w:r>
    </w:p>
    <w:p w14:paraId="4027412B" w14:textId="50C3F761" w:rsidR="000D2B02" w:rsidRDefault="000D2B02" w:rsidP="00AD0064">
      <w:pPr>
        <w:spacing w:line="480" w:lineRule="auto"/>
        <w:rPr>
          <w:rFonts w:eastAsia="Calibri" w:cstheme="minorHAnsi"/>
          <w:color w:val="000000" w:themeColor="text1"/>
          <w:lang w:val="en-GB"/>
        </w:rPr>
      </w:pPr>
      <w:r>
        <w:rPr>
          <w:rFonts w:eastAsia="Calibri" w:cstheme="minorHAnsi"/>
          <w:color w:val="000000" w:themeColor="text1"/>
          <w:vertAlign w:val="superscript"/>
          <w:lang w:val="en-GB"/>
        </w:rPr>
        <w:t>6</w:t>
      </w:r>
      <w:r w:rsidR="00494B90">
        <w:rPr>
          <w:rFonts w:eastAsia="Calibri" w:cstheme="minorHAnsi"/>
          <w:color w:val="000000" w:themeColor="text1"/>
          <w:vertAlign w:val="superscript"/>
          <w:lang w:val="en-GB"/>
        </w:rPr>
        <w:t xml:space="preserve"> </w:t>
      </w:r>
      <w:proofErr w:type="spellStart"/>
      <w:r w:rsidRPr="00E07543">
        <w:rPr>
          <w:rFonts w:eastAsia="Calibri" w:cstheme="minorHAnsi"/>
          <w:color w:val="000000" w:themeColor="text1"/>
          <w:lang w:val="en-GB"/>
        </w:rPr>
        <w:t>Center</w:t>
      </w:r>
      <w:proofErr w:type="spellEnd"/>
      <w:r w:rsidRPr="00E07543">
        <w:rPr>
          <w:rFonts w:eastAsia="Calibri" w:cstheme="minorHAnsi"/>
          <w:color w:val="000000" w:themeColor="text1"/>
          <w:lang w:val="en-GB"/>
        </w:rPr>
        <w:t xml:space="preserve"> for Research, High Education and Transfer </w:t>
      </w:r>
      <w:proofErr w:type="spellStart"/>
      <w:r w:rsidRPr="00E07543">
        <w:rPr>
          <w:rFonts w:eastAsia="Calibri" w:cstheme="minorHAnsi"/>
          <w:color w:val="000000" w:themeColor="text1"/>
          <w:lang w:val="en-GB"/>
        </w:rPr>
        <w:t>DENOThe</w:t>
      </w:r>
      <w:proofErr w:type="spellEnd"/>
      <w:r w:rsidRPr="00E07543">
        <w:rPr>
          <w:rFonts w:eastAsia="Calibri" w:cstheme="minorHAnsi"/>
          <w:color w:val="000000" w:themeColor="text1"/>
          <w:lang w:val="en-GB"/>
        </w:rPr>
        <w:t>, University of Florence, Florence, Italy.</w:t>
      </w:r>
    </w:p>
    <w:p w14:paraId="57EEA24D" w14:textId="585074B6" w:rsidR="00AD0064" w:rsidRPr="00E07543" w:rsidRDefault="000D2B02" w:rsidP="00AD0064">
      <w:pPr>
        <w:spacing w:line="480" w:lineRule="auto"/>
        <w:rPr>
          <w:rFonts w:eastAsia="Calibri" w:cstheme="minorHAnsi"/>
          <w:color w:val="000000" w:themeColor="text1"/>
          <w:lang w:val="en-GB"/>
        </w:rPr>
      </w:pPr>
      <w:r>
        <w:rPr>
          <w:rFonts w:eastAsia="Calibri" w:cstheme="minorHAnsi"/>
          <w:color w:val="000000" w:themeColor="text1"/>
          <w:vertAlign w:val="superscript"/>
          <w:lang w:val="en-GB"/>
        </w:rPr>
        <w:t>7</w:t>
      </w:r>
      <w:r w:rsidR="00AD0064">
        <w:rPr>
          <w:rFonts w:eastAsia="Calibri" w:cstheme="minorHAnsi"/>
          <w:color w:val="000000" w:themeColor="text1"/>
          <w:vertAlign w:val="superscript"/>
          <w:lang w:val="en-GB"/>
        </w:rPr>
        <w:t xml:space="preserve"> </w:t>
      </w:r>
      <w:r w:rsidR="00AD0064" w:rsidRPr="00E07543">
        <w:rPr>
          <w:rFonts w:eastAsia="Calibri" w:cstheme="minorHAnsi"/>
          <w:color w:val="000000" w:themeColor="text1"/>
          <w:lang w:val="en-GB"/>
        </w:rPr>
        <w:t>Portal Hypertension Departmental Unit, Department of Experimental and Clinical Medicine, University of Florence, Florence, Italy.</w:t>
      </w:r>
    </w:p>
    <w:p w14:paraId="2716DC88" w14:textId="77777777" w:rsidR="00AD0064" w:rsidRPr="00E07543" w:rsidRDefault="00AD0064" w:rsidP="008A2765">
      <w:pPr>
        <w:spacing w:line="480" w:lineRule="auto"/>
        <w:jc w:val="both"/>
        <w:rPr>
          <w:rFonts w:eastAsia="Calibri" w:cstheme="minorHAnsi"/>
          <w:b/>
          <w:color w:val="000000" w:themeColor="text1"/>
          <w:lang w:val="en-GB"/>
        </w:rPr>
      </w:pPr>
    </w:p>
    <w:p w14:paraId="33171ACF" w14:textId="2F551844" w:rsidR="00AD0064" w:rsidRPr="00E07543" w:rsidRDefault="00AD0064" w:rsidP="0063003D">
      <w:pPr>
        <w:spacing w:line="480" w:lineRule="auto"/>
        <w:rPr>
          <w:rFonts w:eastAsia="Calibri" w:cstheme="minorHAnsi"/>
          <w:bCs/>
          <w:color w:val="000000" w:themeColor="text1"/>
          <w:lang w:val="en-GB"/>
        </w:rPr>
      </w:pPr>
      <w:r w:rsidRPr="00E07543">
        <w:rPr>
          <w:rFonts w:eastAsia="Calibri" w:cstheme="minorHAnsi"/>
          <w:b/>
          <w:color w:val="000000" w:themeColor="text1"/>
          <w:lang w:val="en-GB"/>
        </w:rPr>
        <w:lastRenderedPageBreak/>
        <w:t xml:space="preserve">Abbreviations: </w:t>
      </w:r>
      <w:r w:rsidR="008A2765">
        <w:rPr>
          <w:rFonts w:eastAsia="Calibri" w:cstheme="minorHAnsi"/>
          <w:bCs/>
          <w:color w:val="000000" w:themeColor="text1"/>
          <w:lang w:val="en-GB"/>
        </w:rPr>
        <w:t>t</w:t>
      </w:r>
      <w:r w:rsidRPr="00E07543">
        <w:rPr>
          <w:rFonts w:eastAsia="Calibri" w:cstheme="minorHAnsi"/>
          <w:bCs/>
          <w:color w:val="000000" w:themeColor="text1"/>
          <w:lang w:val="en-GB"/>
        </w:rPr>
        <w:t xml:space="preserve">rans-jugular </w:t>
      </w:r>
      <w:r w:rsidR="00B16649">
        <w:rPr>
          <w:rFonts w:eastAsia="Calibri" w:cstheme="minorHAnsi"/>
          <w:bCs/>
          <w:color w:val="000000" w:themeColor="text1"/>
          <w:lang w:val="en-GB"/>
        </w:rPr>
        <w:t xml:space="preserve">intra-hepatic </w:t>
      </w:r>
      <w:proofErr w:type="spellStart"/>
      <w:r w:rsidRPr="00E07543">
        <w:rPr>
          <w:rFonts w:eastAsia="Calibri" w:cstheme="minorHAnsi"/>
          <w:bCs/>
          <w:color w:val="000000" w:themeColor="text1"/>
          <w:lang w:val="en-GB"/>
        </w:rPr>
        <w:t>porto</w:t>
      </w:r>
      <w:proofErr w:type="spellEnd"/>
      <w:r w:rsidRPr="00E07543">
        <w:rPr>
          <w:rFonts w:eastAsia="Calibri" w:cstheme="minorHAnsi"/>
          <w:bCs/>
          <w:color w:val="000000" w:themeColor="text1"/>
          <w:lang w:val="en-GB"/>
        </w:rPr>
        <w:t>-systemic shunt, TIPS</w:t>
      </w:r>
      <w:r w:rsidR="008A2765">
        <w:rPr>
          <w:rFonts w:eastAsia="Calibri" w:cstheme="minorHAnsi"/>
          <w:bCs/>
          <w:color w:val="000000" w:themeColor="text1"/>
          <w:lang w:val="en-GB"/>
        </w:rPr>
        <w:t xml:space="preserve">; </w:t>
      </w:r>
      <w:proofErr w:type="spellStart"/>
      <w:r w:rsidR="008A2765" w:rsidRPr="00E07543">
        <w:rPr>
          <w:rFonts w:eastAsia="Calibri" w:cstheme="minorHAnsi"/>
          <w:bCs/>
          <w:color w:val="000000" w:themeColor="text1"/>
          <w:lang w:val="en-GB"/>
        </w:rPr>
        <w:t>porto-caval</w:t>
      </w:r>
      <w:proofErr w:type="spellEnd"/>
      <w:r w:rsidR="008A2765" w:rsidRPr="00E07543">
        <w:rPr>
          <w:rFonts w:eastAsia="Calibri" w:cstheme="minorHAnsi"/>
          <w:bCs/>
          <w:color w:val="000000" w:themeColor="text1"/>
          <w:lang w:val="en-GB"/>
        </w:rPr>
        <w:t xml:space="preserve"> pressure gradient</w:t>
      </w:r>
      <w:r w:rsidR="008A2765">
        <w:rPr>
          <w:rFonts w:eastAsia="Calibri" w:cstheme="minorHAnsi"/>
          <w:bCs/>
          <w:color w:val="000000" w:themeColor="text1"/>
          <w:lang w:val="en-GB"/>
        </w:rPr>
        <w:t xml:space="preserve">, PCPG; </w:t>
      </w:r>
      <w:r w:rsidR="002E1B1A">
        <w:rPr>
          <w:lang w:val="en-GB"/>
        </w:rPr>
        <w:t xml:space="preserve">adequate </w:t>
      </w:r>
      <w:r w:rsidR="002E1B1A" w:rsidRPr="00F11369">
        <w:rPr>
          <w:lang w:val="en-GB"/>
        </w:rPr>
        <w:t>haemodynamic response</w:t>
      </w:r>
      <w:r w:rsidR="002E1B1A">
        <w:rPr>
          <w:lang w:val="en-GB"/>
        </w:rPr>
        <w:t xml:space="preserve">, AHR; inadequate </w:t>
      </w:r>
      <w:r w:rsidR="002E1B1A" w:rsidRPr="00F832F7">
        <w:rPr>
          <w:lang w:val="en-GB"/>
        </w:rPr>
        <w:t>hemodynamic response</w:t>
      </w:r>
      <w:r w:rsidR="002E1B1A">
        <w:rPr>
          <w:lang w:val="en-GB"/>
        </w:rPr>
        <w:t>,</w:t>
      </w:r>
      <w:r w:rsidR="002E1B1A" w:rsidRPr="00F832F7">
        <w:rPr>
          <w:lang w:val="en-GB"/>
        </w:rPr>
        <w:t xml:space="preserve"> </w:t>
      </w:r>
      <w:r w:rsidR="002E1B1A">
        <w:rPr>
          <w:lang w:val="en-GB"/>
        </w:rPr>
        <w:t xml:space="preserve">IHR; </w:t>
      </w:r>
      <w:r w:rsidR="002E1B1A" w:rsidRPr="00A7621C">
        <w:rPr>
          <w:lang w:val="en-US"/>
        </w:rPr>
        <w:t>non-selective beta-blockers</w:t>
      </w:r>
      <w:r w:rsidR="002E1B1A">
        <w:rPr>
          <w:lang w:val="en-US"/>
        </w:rPr>
        <w:t>, NSSBs;</w:t>
      </w:r>
      <w:r w:rsidR="002E1B1A" w:rsidRPr="009C458A">
        <w:rPr>
          <w:lang w:val="en-US"/>
        </w:rPr>
        <w:t xml:space="preserve"> overt hepatic encephalopathy</w:t>
      </w:r>
      <w:r w:rsidR="002E1B1A">
        <w:rPr>
          <w:lang w:val="en-US"/>
        </w:rPr>
        <w:t>,</w:t>
      </w:r>
      <w:r w:rsidR="002E1B1A" w:rsidRPr="009C458A">
        <w:rPr>
          <w:lang w:val="en-US"/>
        </w:rPr>
        <w:t xml:space="preserve"> </w:t>
      </w:r>
      <w:r w:rsidR="009C458A">
        <w:rPr>
          <w:lang w:val="en-US"/>
        </w:rPr>
        <w:t>OHE</w:t>
      </w:r>
      <w:r w:rsidR="008A2765">
        <w:rPr>
          <w:lang w:val="en-US"/>
        </w:rPr>
        <w:t>.</w:t>
      </w:r>
    </w:p>
    <w:p w14:paraId="15BB362D" w14:textId="77777777" w:rsidR="00AD0064" w:rsidRPr="00E07543" w:rsidRDefault="00AD0064" w:rsidP="0063003D">
      <w:pPr>
        <w:spacing w:line="480" w:lineRule="auto"/>
        <w:rPr>
          <w:rFonts w:eastAsia="Calibri" w:cstheme="minorHAnsi"/>
          <w:b/>
          <w:bCs/>
          <w:color w:val="000000" w:themeColor="text1"/>
          <w:lang w:val="en-US"/>
        </w:rPr>
      </w:pPr>
    </w:p>
    <w:p w14:paraId="4A1A0AE1" w14:textId="77777777" w:rsidR="00AD0064" w:rsidRPr="00E07543" w:rsidRDefault="00AD0064" w:rsidP="0063003D">
      <w:pPr>
        <w:spacing w:line="480" w:lineRule="auto"/>
        <w:rPr>
          <w:rFonts w:eastAsia="Calibri" w:cstheme="minorHAnsi"/>
          <w:b/>
          <w:bCs/>
          <w:color w:val="000000" w:themeColor="text1"/>
          <w:lang w:val="en-US"/>
        </w:rPr>
      </w:pPr>
      <w:r w:rsidRPr="00E07543">
        <w:rPr>
          <w:rFonts w:eastAsia="Calibri" w:cstheme="minorHAnsi"/>
          <w:b/>
          <w:bCs/>
          <w:color w:val="000000" w:themeColor="text1"/>
          <w:lang w:val="en-US"/>
        </w:rPr>
        <w:t>Key words</w:t>
      </w:r>
      <w:r w:rsidRPr="00E07543">
        <w:rPr>
          <w:rFonts w:eastAsia="Calibri" w:cstheme="minorHAnsi"/>
          <w:b/>
          <w:color w:val="000000" w:themeColor="text1"/>
          <w:lang w:val="en-US"/>
        </w:rPr>
        <w:t>:</w:t>
      </w:r>
      <w:r w:rsidRPr="00E07543">
        <w:rPr>
          <w:rFonts w:eastAsia="Calibri" w:cstheme="minorHAnsi"/>
          <w:bCs/>
          <w:color w:val="000000" w:themeColor="text1"/>
          <w:lang w:val="en-US"/>
        </w:rPr>
        <w:t xml:space="preserve"> portal hypertension,</w:t>
      </w:r>
      <w:r w:rsidRPr="00E07543">
        <w:rPr>
          <w:rFonts w:eastAsia="Calibri" w:cstheme="minorHAnsi"/>
          <w:b/>
          <w:color w:val="000000" w:themeColor="text1"/>
          <w:lang w:val="en-US"/>
        </w:rPr>
        <w:t xml:space="preserve"> </w:t>
      </w:r>
      <w:proofErr w:type="spellStart"/>
      <w:r w:rsidRPr="00E07543">
        <w:rPr>
          <w:rFonts w:eastAsia="Calibri" w:cstheme="minorHAnsi"/>
          <w:bCs/>
          <w:color w:val="000000" w:themeColor="text1"/>
          <w:lang w:val="en-GB"/>
        </w:rPr>
        <w:t>porto-caval</w:t>
      </w:r>
      <w:proofErr w:type="spellEnd"/>
      <w:r w:rsidRPr="00E07543">
        <w:rPr>
          <w:rFonts w:eastAsia="Calibri" w:cstheme="minorHAnsi"/>
          <w:bCs/>
          <w:color w:val="000000" w:themeColor="text1"/>
          <w:lang w:val="en-GB"/>
        </w:rPr>
        <w:t xml:space="preserve"> pressure gradient</w:t>
      </w:r>
      <w:r w:rsidRPr="00E07543">
        <w:rPr>
          <w:rFonts w:eastAsia="Calibri" w:cstheme="minorHAnsi"/>
          <w:b/>
          <w:color w:val="000000" w:themeColor="text1"/>
          <w:lang w:val="en-US"/>
        </w:rPr>
        <w:t>,</w:t>
      </w:r>
      <w:r w:rsidRPr="00E07543">
        <w:rPr>
          <w:rFonts w:eastAsia="Calibri" w:cstheme="minorHAnsi"/>
          <w:bCs/>
          <w:color w:val="000000" w:themeColor="text1"/>
          <w:lang w:val="en-US"/>
        </w:rPr>
        <w:t xml:space="preserve"> variceal bleeding, refractory ascites, hepatic encephalopathy.</w:t>
      </w:r>
    </w:p>
    <w:p w14:paraId="64202BDC" w14:textId="77777777" w:rsidR="00AD0064" w:rsidRPr="00E07543" w:rsidRDefault="00AD0064" w:rsidP="0063003D">
      <w:pPr>
        <w:spacing w:line="480" w:lineRule="auto"/>
        <w:rPr>
          <w:rFonts w:eastAsia="Calibri" w:cstheme="minorHAnsi"/>
          <w:b/>
          <w:bCs/>
          <w:color w:val="000000" w:themeColor="text1"/>
          <w:lang w:val="en-US"/>
        </w:rPr>
      </w:pPr>
    </w:p>
    <w:p w14:paraId="413F73C2" w14:textId="65A057CE" w:rsidR="00AD0064" w:rsidRPr="00E07543" w:rsidRDefault="00AD0064" w:rsidP="0063003D">
      <w:pPr>
        <w:spacing w:line="480" w:lineRule="auto"/>
        <w:rPr>
          <w:rFonts w:eastAsia="Calibri" w:cstheme="minorHAnsi"/>
          <w:bCs/>
          <w:color w:val="000000" w:themeColor="text1"/>
          <w:lang w:val="en-US"/>
        </w:rPr>
      </w:pPr>
      <w:r w:rsidRPr="00E07543">
        <w:rPr>
          <w:rFonts w:eastAsia="Calibri" w:cstheme="minorHAnsi"/>
          <w:b/>
          <w:bCs/>
          <w:color w:val="000000" w:themeColor="text1"/>
          <w:lang w:val="en-US"/>
        </w:rPr>
        <w:t>Disclosures</w:t>
      </w:r>
      <w:r w:rsidRPr="00E07543">
        <w:rPr>
          <w:rFonts w:eastAsia="Calibri" w:cstheme="minorHAnsi"/>
          <w:b/>
          <w:color w:val="000000" w:themeColor="text1"/>
          <w:lang w:val="en-US"/>
        </w:rPr>
        <w:t>:</w:t>
      </w:r>
      <w:r w:rsidRPr="00E07543">
        <w:rPr>
          <w:rFonts w:eastAsia="Calibri" w:cstheme="minorHAnsi"/>
          <w:bCs/>
          <w:color w:val="000000" w:themeColor="text1"/>
          <w:lang w:val="en-US"/>
        </w:rPr>
        <w:t xml:space="preserve"> </w:t>
      </w:r>
      <w:r w:rsidRPr="009736F1">
        <w:rPr>
          <w:rFonts w:eastAsia="Calibri" w:cstheme="minorHAnsi"/>
          <w:bCs/>
          <w:color w:val="000000" w:themeColor="text1"/>
          <w:lang w:val="en-GB"/>
        </w:rPr>
        <w:t xml:space="preserve">FV, FS, </w:t>
      </w:r>
      <w:r w:rsidR="0063003D">
        <w:rPr>
          <w:rFonts w:eastAsia="Calibri" w:cstheme="minorHAnsi"/>
          <w:bCs/>
          <w:color w:val="000000" w:themeColor="text1"/>
          <w:lang w:val="en-GB"/>
        </w:rPr>
        <w:t xml:space="preserve">and </w:t>
      </w:r>
      <w:r w:rsidRPr="009736F1">
        <w:rPr>
          <w:rFonts w:eastAsia="Calibri" w:cstheme="minorHAnsi"/>
          <w:bCs/>
          <w:color w:val="000000" w:themeColor="text1"/>
          <w:lang w:val="en-GB"/>
        </w:rPr>
        <w:t xml:space="preserve">FM have received lecture fees and FS has received research </w:t>
      </w:r>
      <w:r w:rsidRPr="008466BF">
        <w:rPr>
          <w:rFonts w:eastAsia="Calibri" w:cstheme="minorHAnsi"/>
          <w:bCs/>
          <w:color w:val="000000" w:themeColor="text1"/>
          <w:lang w:val="en-US"/>
        </w:rPr>
        <w:t>grant</w:t>
      </w:r>
      <w:r w:rsidRPr="009736F1">
        <w:rPr>
          <w:rFonts w:eastAsia="Calibri" w:cstheme="minorHAnsi"/>
          <w:bCs/>
          <w:color w:val="000000" w:themeColor="text1"/>
          <w:lang w:val="en-GB"/>
        </w:rPr>
        <w:t xml:space="preserve"> support from Gore.</w:t>
      </w:r>
    </w:p>
    <w:p w14:paraId="3A48B557" w14:textId="77777777" w:rsidR="00AD0064" w:rsidRPr="00E07543" w:rsidRDefault="00AD0064" w:rsidP="00AD0064">
      <w:pPr>
        <w:spacing w:line="480" w:lineRule="auto"/>
        <w:rPr>
          <w:rFonts w:eastAsia="Calibri" w:cstheme="minorHAnsi"/>
          <w:bCs/>
          <w:color w:val="000000" w:themeColor="text1"/>
          <w:lang w:val="en-US"/>
        </w:rPr>
      </w:pPr>
    </w:p>
    <w:p w14:paraId="4B308177" w14:textId="77777777" w:rsidR="00AD0064" w:rsidRPr="00E07543" w:rsidRDefault="00AD0064" w:rsidP="00AD0064">
      <w:pPr>
        <w:spacing w:line="480" w:lineRule="auto"/>
        <w:rPr>
          <w:rFonts w:eastAsia="Calibri" w:cstheme="minorHAnsi"/>
          <w:bCs/>
          <w:color w:val="000000" w:themeColor="text1"/>
          <w:lang w:val="en-US"/>
        </w:rPr>
      </w:pPr>
    </w:p>
    <w:p w14:paraId="1EE39F54" w14:textId="77777777" w:rsidR="00AD0064" w:rsidRPr="00E07543" w:rsidRDefault="00AD0064" w:rsidP="00AD0064">
      <w:pPr>
        <w:spacing w:line="480" w:lineRule="auto"/>
        <w:rPr>
          <w:rFonts w:eastAsia="Calibri" w:cstheme="minorHAnsi"/>
          <w:b/>
          <w:bCs/>
          <w:color w:val="000000" w:themeColor="text1"/>
          <w:lang w:val="en-US"/>
        </w:rPr>
      </w:pPr>
      <w:r w:rsidRPr="00E07543">
        <w:rPr>
          <w:rFonts w:eastAsia="Calibri" w:cstheme="minorHAnsi"/>
          <w:b/>
          <w:bCs/>
          <w:color w:val="000000" w:themeColor="text1"/>
          <w:lang w:val="en-US"/>
        </w:rPr>
        <w:t>Corresponding author:</w:t>
      </w:r>
    </w:p>
    <w:p w14:paraId="1D641EFA" w14:textId="77777777" w:rsidR="00AD0064" w:rsidRPr="00580960" w:rsidRDefault="00AD0064" w:rsidP="00AD0064">
      <w:pPr>
        <w:spacing w:line="480" w:lineRule="auto"/>
        <w:rPr>
          <w:rFonts w:eastAsia="Calibri" w:cstheme="minorHAnsi"/>
          <w:bCs/>
          <w:color w:val="000000" w:themeColor="text1"/>
          <w:lang w:val="en-GB"/>
        </w:rPr>
      </w:pPr>
      <w:r w:rsidRPr="003D4933">
        <w:rPr>
          <w:rFonts w:eastAsia="Calibri" w:cstheme="minorHAnsi"/>
          <w:bCs/>
          <w:color w:val="000000" w:themeColor="text1"/>
          <w:lang w:val="en-US"/>
        </w:rPr>
        <w:t>Prof</w:t>
      </w:r>
      <w:r w:rsidRPr="0063003D">
        <w:rPr>
          <w:rFonts w:eastAsia="Calibri" w:cstheme="minorHAnsi"/>
          <w:bCs/>
          <w:color w:val="000000" w:themeColor="text1"/>
          <w:lang w:val="en-US"/>
        </w:rPr>
        <w:t xml:space="preserve">. </w:t>
      </w:r>
      <w:r w:rsidRPr="00580960">
        <w:rPr>
          <w:rFonts w:eastAsia="Calibri" w:cstheme="minorHAnsi"/>
          <w:bCs/>
          <w:color w:val="000000" w:themeColor="text1"/>
          <w:lang w:val="en-GB"/>
        </w:rPr>
        <w:t>Francesco Vizzutti</w:t>
      </w:r>
    </w:p>
    <w:p w14:paraId="25051EE9" w14:textId="77777777" w:rsidR="00AD0064" w:rsidRPr="00580960" w:rsidRDefault="00AD0064" w:rsidP="00AD0064">
      <w:pPr>
        <w:spacing w:line="480" w:lineRule="auto"/>
        <w:rPr>
          <w:rFonts w:eastAsia="Calibri" w:cstheme="minorHAnsi"/>
          <w:bCs/>
          <w:color w:val="000000" w:themeColor="text1"/>
          <w:lang w:val="en-GB"/>
        </w:rPr>
      </w:pPr>
      <w:r w:rsidRPr="00580960">
        <w:rPr>
          <w:rFonts w:eastAsia="Calibri" w:cstheme="minorHAnsi"/>
          <w:bCs/>
          <w:color w:val="000000" w:themeColor="text1"/>
          <w:lang w:val="en-GB"/>
        </w:rPr>
        <w:t>francesco.vizzutti@unifi.it</w:t>
      </w:r>
    </w:p>
    <w:p w14:paraId="507F8C10" w14:textId="77777777" w:rsidR="00AD0064" w:rsidRDefault="00AD0064" w:rsidP="00AD0064">
      <w:pPr>
        <w:spacing w:line="480" w:lineRule="auto"/>
        <w:rPr>
          <w:bCs/>
          <w:color w:val="000000" w:themeColor="text1"/>
          <w:lang w:val="en-US"/>
        </w:rPr>
      </w:pPr>
      <w:r w:rsidRPr="00E07543">
        <w:rPr>
          <w:bCs/>
          <w:color w:val="000000" w:themeColor="text1"/>
          <w:lang w:val="en-US"/>
        </w:rPr>
        <w:t>Department of Experimental and Clinical Medicine, University of Florence</w:t>
      </w:r>
    </w:p>
    <w:p w14:paraId="482D1D3A" w14:textId="77777777" w:rsidR="00AD0064" w:rsidRPr="00E07543" w:rsidRDefault="00AD0064" w:rsidP="00AD0064">
      <w:pPr>
        <w:spacing w:line="480" w:lineRule="auto"/>
        <w:rPr>
          <w:bCs/>
          <w:color w:val="000000" w:themeColor="text1"/>
          <w:lang w:val="en-US"/>
        </w:rPr>
      </w:pPr>
      <w:r w:rsidRPr="00E07543">
        <w:rPr>
          <w:rFonts w:eastAsia="Calibri" w:cstheme="minorHAnsi"/>
          <w:color w:val="000000" w:themeColor="text1"/>
          <w:lang w:val="en-GB"/>
        </w:rPr>
        <w:t>Portal Hypertension Departmental Unit, Department of Experimental and Clinical Medicine, University of Florence, Florence, Italy</w:t>
      </w:r>
    </w:p>
    <w:p w14:paraId="05C704A1" w14:textId="77777777" w:rsidR="00AD0064" w:rsidRPr="00E07543" w:rsidRDefault="00AD0064" w:rsidP="00AD0064">
      <w:pPr>
        <w:spacing w:line="480" w:lineRule="auto"/>
        <w:rPr>
          <w:bCs/>
          <w:color w:val="000000" w:themeColor="text1"/>
          <w:lang w:val="en-US"/>
        </w:rPr>
      </w:pPr>
      <w:r w:rsidRPr="00E07543">
        <w:rPr>
          <w:bCs/>
          <w:color w:val="000000" w:themeColor="text1"/>
          <w:lang w:val="en-US"/>
        </w:rPr>
        <w:t xml:space="preserve">Viale Morgagni 85, Florence, I-50134, Italy </w:t>
      </w:r>
    </w:p>
    <w:p w14:paraId="3F093DB3" w14:textId="77777777" w:rsidR="00AD0064" w:rsidRPr="00E07543" w:rsidRDefault="00AD0064" w:rsidP="00AD0064">
      <w:pPr>
        <w:spacing w:line="480" w:lineRule="auto"/>
        <w:rPr>
          <w:b/>
          <w:bCs/>
          <w:color w:val="000000" w:themeColor="text1"/>
          <w:lang w:val="en-US"/>
        </w:rPr>
      </w:pPr>
    </w:p>
    <w:p w14:paraId="79E045CC" w14:textId="1BC0C99C" w:rsidR="00AD0064" w:rsidRDefault="00AD0064" w:rsidP="00303703">
      <w:pPr>
        <w:spacing w:line="480" w:lineRule="auto"/>
        <w:rPr>
          <w:rFonts w:eastAsia="Calibri" w:cstheme="minorHAnsi"/>
          <w:color w:val="000000" w:themeColor="text1"/>
          <w:lang w:val="en-GB"/>
        </w:rPr>
      </w:pPr>
      <w:r w:rsidRPr="00E07543">
        <w:rPr>
          <w:b/>
          <w:bCs/>
          <w:color w:val="000000" w:themeColor="text1"/>
          <w:lang w:val="en-US"/>
        </w:rPr>
        <w:t xml:space="preserve">Financial support: </w:t>
      </w:r>
      <w:r w:rsidRPr="0077491D">
        <w:rPr>
          <w:rFonts w:eastAsia="Calibri" w:cstheme="minorHAnsi"/>
          <w:color w:val="000000" w:themeColor="text1"/>
          <w:lang w:val="en-GB"/>
        </w:rPr>
        <w:t>This paper was supported by grants from University of Florence, of Modena and Reggio Emilia and from the Italian Ministry of University and Research (PRIN 2022N2KJAM CUP E53D23013280006).</w:t>
      </w:r>
    </w:p>
    <w:p w14:paraId="545FAD91" w14:textId="77777777" w:rsidR="002E1B1A" w:rsidRPr="00303703" w:rsidRDefault="002E1B1A" w:rsidP="00303703">
      <w:pPr>
        <w:spacing w:line="480" w:lineRule="auto"/>
        <w:rPr>
          <w:rFonts w:eastAsia="Calibri" w:cstheme="minorHAnsi"/>
          <w:color w:val="000000" w:themeColor="text1"/>
          <w:lang w:val="en-GB"/>
        </w:rPr>
      </w:pPr>
    </w:p>
    <w:p w14:paraId="35E8B819" w14:textId="72163A95" w:rsidR="008D2C74" w:rsidRPr="00494B90" w:rsidRDefault="00CC67C4" w:rsidP="00494B90">
      <w:pPr>
        <w:spacing w:line="480" w:lineRule="auto"/>
        <w:rPr>
          <w:color w:val="FF0000"/>
          <w:lang w:val="en-GB"/>
        </w:rPr>
      </w:pPr>
      <w:r w:rsidRPr="00CC67C4">
        <w:rPr>
          <w:lang w:val="en-GB"/>
        </w:rPr>
        <w:t>We sincerely thank colleagues for their thoughtful consideration and appreciation. We agree that the findings presented in our study have the potential to significantly influence current guid</w:t>
      </w:r>
      <w:r w:rsidR="002E1B1A">
        <w:rPr>
          <w:lang w:val="en-GB"/>
        </w:rPr>
        <w:t>ance</w:t>
      </w:r>
      <w:r w:rsidRPr="00CC67C4">
        <w:rPr>
          <w:lang w:val="en-GB"/>
        </w:rPr>
        <w:t xml:space="preserve"> on hemodynamic targets for transjugular intrahepatic portosystemic shunt (TIPS). </w:t>
      </w:r>
      <w:r w:rsidR="00494B90" w:rsidRPr="00755C28">
        <w:rPr>
          <w:color w:val="000000" w:themeColor="text1"/>
          <w:lang w:val="en-GB"/>
        </w:rPr>
        <w:t>Though, t</w:t>
      </w:r>
      <w:r w:rsidRPr="00755C28">
        <w:rPr>
          <w:color w:val="000000" w:themeColor="text1"/>
          <w:lang w:val="en-GB"/>
        </w:rPr>
        <w:t xml:space="preserve">o further validate our results, </w:t>
      </w:r>
      <w:r w:rsidR="00D71B4D" w:rsidRPr="00755C28">
        <w:rPr>
          <w:color w:val="000000" w:themeColor="text1"/>
          <w:lang w:val="en-GB"/>
        </w:rPr>
        <w:t>broad</w:t>
      </w:r>
      <w:r w:rsidRPr="00755C28">
        <w:rPr>
          <w:color w:val="000000" w:themeColor="text1"/>
          <w:lang w:val="en-GB"/>
        </w:rPr>
        <w:t xml:space="preserve"> investigations, including serial assessments of hemodynamic </w:t>
      </w:r>
      <w:r w:rsidR="00494B90" w:rsidRPr="00755C28">
        <w:rPr>
          <w:color w:val="000000" w:themeColor="text1"/>
          <w:lang w:val="en-GB"/>
        </w:rPr>
        <w:t xml:space="preserve">results are warranted. Moreover, it is plausible that post-TIPS portocaval pressure gradient (PCPG) is not the </w:t>
      </w:r>
      <w:r w:rsidR="002F5396" w:rsidRPr="00755C28">
        <w:rPr>
          <w:color w:val="000000" w:themeColor="text1"/>
          <w:lang w:val="en-GB"/>
        </w:rPr>
        <w:t>only</w:t>
      </w:r>
      <w:r w:rsidR="00494B90" w:rsidRPr="00755C28">
        <w:rPr>
          <w:color w:val="000000" w:themeColor="text1"/>
          <w:lang w:val="en-GB"/>
        </w:rPr>
        <w:t xml:space="preserve"> determinant of TIPS outcomes at an individual level</w:t>
      </w:r>
      <w:r w:rsidR="00D71B4D" w:rsidRPr="00755C28">
        <w:rPr>
          <w:color w:val="000000" w:themeColor="text1"/>
          <w:lang w:val="en-GB"/>
        </w:rPr>
        <w:t>,</w:t>
      </w:r>
      <w:r w:rsidR="00494B90" w:rsidRPr="00755C28">
        <w:rPr>
          <w:color w:val="000000" w:themeColor="text1"/>
          <w:lang w:val="en-GB"/>
        </w:rPr>
        <w:t xml:space="preserve"> requiring the </w:t>
      </w:r>
      <w:r w:rsidRPr="00755C28">
        <w:rPr>
          <w:color w:val="000000" w:themeColor="text1"/>
          <w:lang w:val="en-GB"/>
        </w:rPr>
        <w:t xml:space="preserve">incorporation of additional factors such as systemic hemodynamics, comorbidities, sarcopenia-frailty, inflammatory status, and intestinal microbiota. </w:t>
      </w:r>
    </w:p>
    <w:p w14:paraId="4023C6A3" w14:textId="43DBCAC3" w:rsidR="00FF28EA" w:rsidRPr="002337DC" w:rsidRDefault="00F67870" w:rsidP="00494B90">
      <w:pPr>
        <w:spacing w:line="480" w:lineRule="auto"/>
        <w:rPr>
          <w:lang w:val="en-GB"/>
        </w:rPr>
      </w:pPr>
      <w:r w:rsidRPr="00F67870">
        <w:rPr>
          <w:lang w:val="en-GB"/>
        </w:rPr>
        <w:t xml:space="preserve">Regarding the first point raised by </w:t>
      </w:r>
      <w:proofErr w:type="spellStart"/>
      <w:r w:rsidRPr="00F67870">
        <w:rPr>
          <w:lang w:val="en-GB"/>
        </w:rPr>
        <w:t>Tantai</w:t>
      </w:r>
      <w:proofErr w:type="spellEnd"/>
      <w:r w:rsidRPr="00F67870">
        <w:rPr>
          <w:lang w:val="en-GB"/>
        </w:rPr>
        <w:t xml:space="preserve"> X et al., the paper may not have </w:t>
      </w:r>
      <w:r>
        <w:rPr>
          <w:lang w:val="en-GB"/>
        </w:rPr>
        <w:t>clearly expressed</w:t>
      </w:r>
      <w:r w:rsidRPr="00F67870">
        <w:rPr>
          <w:lang w:val="en-GB"/>
        </w:rPr>
        <w:t xml:space="preserve"> how the practice of under-dilation was progressively adopted and subsequently applied to all </w:t>
      </w:r>
      <w:r w:rsidRPr="00755C28">
        <w:rPr>
          <w:color w:val="000000" w:themeColor="text1"/>
          <w:lang w:val="en-GB"/>
        </w:rPr>
        <w:t>patients undergoing TIPS, regardless of indication. Over time, under-dilation became standard practice</w:t>
      </w:r>
      <w:r w:rsidR="00494B90" w:rsidRPr="00755C28">
        <w:rPr>
          <w:color w:val="000000" w:themeColor="text1"/>
          <w:lang w:val="en-US"/>
        </w:rPr>
        <w:t xml:space="preserve"> in the centers involved in the study long before the availability of CX endoprosthesis,</w:t>
      </w:r>
      <w:r w:rsidRPr="00755C28">
        <w:rPr>
          <w:color w:val="000000" w:themeColor="text1"/>
          <w:lang w:val="en-GB"/>
        </w:rPr>
        <w:t xml:space="preserve"> </w:t>
      </w:r>
      <w:r w:rsidRPr="00F67870">
        <w:rPr>
          <w:lang w:val="en-GB"/>
        </w:rPr>
        <w:t>due to its proven efficacy and safety, rather than being limited to frail patients.</w:t>
      </w:r>
      <w:r>
        <w:rPr>
          <w:lang w:val="en-GB"/>
        </w:rPr>
        <w:t xml:space="preserve"> Furthermore, r</w:t>
      </w:r>
      <w:r w:rsidRPr="00F67870">
        <w:rPr>
          <w:lang w:val="en-GB"/>
        </w:rPr>
        <w:t>egarding risk stratification, this has been addressed using both a multivar</w:t>
      </w:r>
      <w:r w:rsidR="002E1B1A">
        <w:rPr>
          <w:lang w:val="en-GB"/>
        </w:rPr>
        <w:t>iable</w:t>
      </w:r>
      <w:r w:rsidRPr="00F67870">
        <w:rPr>
          <w:lang w:val="en-GB"/>
        </w:rPr>
        <w:t xml:space="preserve"> analysis</w:t>
      </w:r>
      <w:r>
        <w:rPr>
          <w:lang w:val="en-GB"/>
        </w:rPr>
        <w:t xml:space="preserve"> </w:t>
      </w:r>
      <w:r w:rsidRPr="00F67870">
        <w:rPr>
          <w:lang w:val="en-GB"/>
        </w:rPr>
        <w:t>and a propensity score matching approach</w:t>
      </w:r>
      <w:r>
        <w:rPr>
          <w:lang w:val="en-GB"/>
        </w:rPr>
        <w:t xml:space="preserve">, which </w:t>
      </w:r>
      <w:r w:rsidRPr="00F67870">
        <w:rPr>
          <w:lang w:val="en-GB"/>
        </w:rPr>
        <w:t>included key variables such as MELD and Child-Pugh scores</w:t>
      </w:r>
      <w:r>
        <w:rPr>
          <w:lang w:val="en-GB"/>
        </w:rPr>
        <w:t xml:space="preserve"> </w:t>
      </w:r>
      <w:r w:rsidRPr="00F67870">
        <w:rPr>
          <w:lang w:val="en-GB"/>
        </w:rPr>
        <w:t>to ensure the comparability of patient populations in terms of disease severity prior to TIPS</w:t>
      </w:r>
      <w:r>
        <w:rPr>
          <w:lang w:val="en-GB"/>
        </w:rPr>
        <w:t>.</w:t>
      </w:r>
    </w:p>
    <w:p w14:paraId="5D007727" w14:textId="59D269B4" w:rsidR="002F368C" w:rsidRPr="007B23CA" w:rsidRDefault="00F11369" w:rsidP="00494B90">
      <w:pPr>
        <w:spacing w:line="480" w:lineRule="auto"/>
        <w:rPr>
          <w:lang w:val="en-GB"/>
        </w:rPr>
      </w:pPr>
      <w:r w:rsidRPr="00F11369">
        <w:rPr>
          <w:lang w:val="en-GB"/>
        </w:rPr>
        <w:t>Regarding non-selective beta-blockers (NSBBs), while their pleiotropic effects could theoretically offer benefits beyond portal pressure reduction, recent evidence challenges this assumption</w:t>
      </w:r>
      <w:r w:rsidRPr="00755C28">
        <w:rPr>
          <w:color w:val="000000" w:themeColor="text1"/>
          <w:lang w:val="en-GB"/>
        </w:rPr>
        <w:t xml:space="preserve">. </w:t>
      </w:r>
      <w:r w:rsidR="00766179" w:rsidRPr="00755C28">
        <w:rPr>
          <w:color w:val="000000" w:themeColor="text1"/>
          <w:lang w:val="en-GB"/>
        </w:rPr>
        <w:t xml:space="preserve">Indeed, </w:t>
      </w:r>
      <w:proofErr w:type="spellStart"/>
      <w:r w:rsidRPr="00755C28">
        <w:rPr>
          <w:color w:val="000000" w:themeColor="text1"/>
          <w:lang w:val="en-GB"/>
        </w:rPr>
        <w:t>Tiede</w:t>
      </w:r>
      <w:proofErr w:type="spellEnd"/>
      <w:r w:rsidRPr="00755C28">
        <w:rPr>
          <w:color w:val="000000" w:themeColor="text1"/>
          <w:lang w:val="en-GB"/>
        </w:rPr>
        <w:t xml:space="preserve"> </w:t>
      </w:r>
      <w:r w:rsidRPr="00F11369">
        <w:rPr>
          <w:lang w:val="en-GB"/>
        </w:rPr>
        <w:t>et al. found that NSBB</w:t>
      </w:r>
      <w:r w:rsidR="002E1B1A">
        <w:rPr>
          <w:lang w:val="en-GB"/>
        </w:rPr>
        <w:t>s</w:t>
      </w:r>
      <w:r w:rsidRPr="00F11369">
        <w:rPr>
          <w:lang w:val="en-GB"/>
        </w:rPr>
        <w:t xml:space="preserve"> administration at the time of TIPS insertion</w:t>
      </w:r>
      <w:r w:rsidR="002E1B1A">
        <w:rPr>
          <w:lang w:val="en-GB"/>
        </w:rPr>
        <w:t xml:space="preserve"> </w:t>
      </w:r>
      <w:r w:rsidRPr="00F11369">
        <w:rPr>
          <w:lang w:val="en-GB"/>
        </w:rPr>
        <w:t>and subsequent continuation or discontinuatio</w:t>
      </w:r>
      <w:r w:rsidR="002E1B1A">
        <w:rPr>
          <w:lang w:val="en-GB"/>
        </w:rPr>
        <w:t xml:space="preserve">n, </w:t>
      </w:r>
      <w:r w:rsidRPr="00F11369">
        <w:rPr>
          <w:lang w:val="en-GB"/>
        </w:rPr>
        <w:t>had no significant impact on systemic inflammation, hepatic decompensation, or overall survival (</w:t>
      </w:r>
      <w:r w:rsidR="002C3B16">
        <w:rPr>
          <w:lang w:val="en-GB"/>
        </w:rPr>
        <w:t xml:space="preserve">1). </w:t>
      </w:r>
      <w:r w:rsidRPr="00F11369">
        <w:rPr>
          <w:lang w:val="en-GB"/>
        </w:rPr>
        <w:t>However, this aspect warrants further investigation through well-designed studies</w:t>
      </w:r>
      <w:r w:rsidRPr="006F11B9">
        <w:rPr>
          <w:lang w:val="en-GB"/>
        </w:rPr>
        <w:t>.</w:t>
      </w:r>
      <w:r w:rsidR="002C3B16" w:rsidRPr="006F11B9">
        <w:rPr>
          <w:lang w:val="en-GB"/>
        </w:rPr>
        <w:t xml:space="preserve"> </w:t>
      </w:r>
      <w:r w:rsidR="00F832F7" w:rsidRPr="00F832F7">
        <w:rPr>
          <w:lang w:val="en-GB"/>
        </w:rPr>
        <w:t>We acknowledge the</w:t>
      </w:r>
      <w:r w:rsidR="007F1CBF">
        <w:rPr>
          <w:lang w:val="en-GB"/>
        </w:rPr>
        <w:t xml:space="preserve"> importance of</w:t>
      </w:r>
      <w:r w:rsidR="00F832F7" w:rsidRPr="00F832F7">
        <w:rPr>
          <w:lang w:val="en-GB"/>
        </w:rPr>
        <w:t xml:space="preserve"> </w:t>
      </w:r>
      <w:r w:rsidR="002C3B16">
        <w:rPr>
          <w:lang w:val="en-GB"/>
        </w:rPr>
        <w:t xml:space="preserve">the </w:t>
      </w:r>
      <w:r w:rsidR="00F832F7" w:rsidRPr="00F832F7">
        <w:rPr>
          <w:lang w:val="en-GB"/>
        </w:rPr>
        <w:t xml:space="preserve">suggestion to perform a sensitivity analysis regarding the effect of </w:t>
      </w:r>
      <w:r w:rsidR="002E1B1A">
        <w:rPr>
          <w:lang w:val="en-GB"/>
        </w:rPr>
        <w:t>NSBBs</w:t>
      </w:r>
      <w:r w:rsidR="00F832F7" w:rsidRPr="00F832F7">
        <w:rPr>
          <w:lang w:val="en-GB"/>
        </w:rPr>
        <w:t>. However, in our cohort, patients who achieved a</w:t>
      </w:r>
      <w:r w:rsidR="009E0A4C">
        <w:rPr>
          <w:lang w:val="en-GB"/>
        </w:rPr>
        <w:t xml:space="preserve">n adequate </w:t>
      </w:r>
      <w:r w:rsidR="009E0A4C" w:rsidRPr="00F11369">
        <w:rPr>
          <w:lang w:val="en-GB"/>
        </w:rPr>
        <w:t>haemodynamic response</w:t>
      </w:r>
      <w:r w:rsidR="009E0A4C">
        <w:rPr>
          <w:lang w:val="en-GB"/>
        </w:rPr>
        <w:t xml:space="preserve"> (AHR) </w:t>
      </w:r>
      <w:r w:rsidR="00F832F7" w:rsidRPr="00F832F7">
        <w:rPr>
          <w:lang w:val="en-GB"/>
        </w:rPr>
        <w:t>after TIPS discontinued beta-blockers, while</w:t>
      </w:r>
      <w:r w:rsidR="00F832F7">
        <w:rPr>
          <w:lang w:val="en-GB"/>
        </w:rPr>
        <w:t xml:space="preserve"> most of </w:t>
      </w:r>
      <w:r w:rsidR="00F832F7" w:rsidRPr="00F832F7">
        <w:rPr>
          <w:lang w:val="en-GB"/>
        </w:rPr>
        <w:t>patients</w:t>
      </w:r>
      <w:r w:rsidR="006B0286">
        <w:rPr>
          <w:lang w:val="en-GB"/>
        </w:rPr>
        <w:t xml:space="preserve"> (94%) </w:t>
      </w:r>
      <w:r w:rsidR="00F832F7" w:rsidRPr="00F832F7">
        <w:rPr>
          <w:lang w:val="en-GB"/>
        </w:rPr>
        <w:t>with a</w:t>
      </w:r>
      <w:r w:rsidR="009E0A4C">
        <w:rPr>
          <w:lang w:val="en-GB"/>
        </w:rPr>
        <w:t xml:space="preserve">n inadequate </w:t>
      </w:r>
      <w:r w:rsidR="00F832F7" w:rsidRPr="00F832F7">
        <w:rPr>
          <w:lang w:val="en-GB"/>
        </w:rPr>
        <w:t xml:space="preserve">hemodynamic response </w:t>
      </w:r>
      <w:r w:rsidR="009E0A4C">
        <w:rPr>
          <w:lang w:val="en-GB"/>
        </w:rPr>
        <w:t xml:space="preserve">(IHR) </w:t>
      </w:r>
      <w:r w:rsidR="00F832F7" w:rsidRPr="00F832F7">
        <w:rPr>
          <w:lang w:val="en-GB"/>
        </w:rPr>
        <w:t xml:space="preserve">continued beta-blocker </w:t>
      </w:r>
      <w:r w:rsidR="00F832F7" w:rsidRPr="00755C28">
        <w:rPr>
          <w:color w:val="000000" w:themeColor="text1"/>
          <w:lang w:val="en-GB"/>
        </w:rPr>
        <w:t>therap</w:t>
      </w:r>
      <w:r w:rsidR="002E1B1A" w:rsidRPr="00755C28">
        <w:rPr>
          <w:color w:val="000000" w:themeColor="text1"/>
          <w:lang w:val="en-GB"/>
        </w:rPr>
        <w:t>y</w:t>
      </w:r>
      <w:r w:rsidR="00494B90" w:rsidRPr="00755C28">
        <w:rPr>
          <w:color w:val="000000" w:themeColor="text1"/>
          <w:lang w:val="en-GB"/>
        </w:rPr>
        <w:t xml:space="preserve"> and </w:t>
      </w:r>
      <w:r w:rsidR="00494B90" w:rsidRPr="00755C28">
        <w:rPr>
          <w:color w:val="000000" w:themeColor="text1"/>
          <w:lang w:val="en-US"/>
        </w:rPr>
        <w:t>the observed hemodynamic effect of TIPS should be assumed as additive to what had already been achieved with NSSBs alone</w:t>
      </w:r>
      <w:r w:rsidR="00F832F7" w:rsidRPr="00755C28">
        <w:rPr>
          <w:color w:val="000000" w:themeColor="text1"/>
          <w:lang w:val="en-GB"/>
        </w:rPr>
        <w:t xml:space="preserve">. As a result, the use of beta-blockers is perfectly collinear </w:t>
      </w:r>
      <w:r w:rsidR="00F832F7" w:rsidRPr="00F832F7">
        <w:rPr>
          <w:lang w:val="en-GB"/>
        </w:rPr>
        <w:t>with the hemodynamic response, making it impossible to separate their individual effects in our analysis. Therefore, a sensitivity analysis on beta-blocker use cannot be performed within our dataset.</w:t>
      </w:r>
    </w:p>
    <w:p w14:paraId="3232851A" w14:textId="05F485A9" w:rsidR="00AD0064" w:rsidRPr="00B17059" w:rsidRDefault="00B17059" w:rsidP="00494B90">
      <w:pPr>
        <w:spacing w:line="480" w:lineRule="auto"/>
        <w:rPr>
          <w:lang w:val="en-GB"/>
        </w:rPr>
      </w:pPr>
      <w:r w:rsidRPr="00B17059">
        <w:rPr>
          <w:lang w:val="en-GB"/>
        </w:rPr>
        <w:t>Regarding the third point raised, data on the effectiveness of TIPS endoprosthesis under-dilation within the intraparenchymal tract in reducing the incidence of post-shunt overt hepatic encephalopathy (OHE) are available in the literature (</w:t>
      </w:r>
      <w:r w:rsidR="006B0286">
        <w:rPr>
          <w:lang w:val="en-GB"/>
        </w:rPr>
        <w:t>2)</w:t>
      </w:r>
      <w:r w:rsidRPr="00B17059">
        <w:rPr>
          <w:lang w:val="en-GB"/>
        </w:rPr>
        <w:t>. In our study, OHE data were presented as between-group comparisons</w:t>
      </w:r>
      <w:r w:rsidR="006B0286">
        <w:rPr>
          <w:lang w:val="en-GB"/>
        </w:rPr>
        <w:t xml:space="preserve"> </w:t>
      </w:r>
      <w:r w:rsidRPr="00B17059">
        <w:rPr>
          <w:lang w:val="en-GB"/>
        </w:rPr>
        <w:t>as they were intended to be purely descriptive and not a</w:t>
      </w:r>
      <w:r>
        <w:rPr>
          <w:lang w:val="en-GB"/>
        </w:rPr>
        <w:t xml:space="preserve">n </w:t>
      </w:r>
      <w:r w:rsidRPr="00B17059">
        <w:rPr>
          <w:lang w:val="en-GB"/>
        </w:rPr>
        <w:t>objective of the study</w:t>
      </w:r>
      <w:r w:rsidR="006B0286">
        <w:rPr>
          <w:lang w:val="en-GB"/>
        </w:rPr>
        <w:t xml:space="preserve">, as </w:t>
      </w:r>
      <w:r w:rsidR="003520AF">
        <w:rPr>
          <w:lang w:val="en-GB"/>
        </w:rPr>
        <w:t>stated</w:t>
      </w:r>
      <w:r w:rsidR="006B0286">
        <w:rPr>
          <w:lang w:val="en-GB"/>
        </w:rPr>
        <w:t xml:space="preserve"> in the “</w:t>
      </w:r>
      <w:r w:rsidR="003520AF">
        <w:rPr>
          <w:lang w:val="en-GB"/>
        </w:rPr>
        <w:t>M</w:t>
      </w:r>
      <w:r w:rsidR="006B0286">
        <w:rPr>
          <w:lang w:val="en-GB"/>
        </w:rPr>
        <w:t>aterial</w:t>
      </w:r>
      <w:r w:rsidR="003520AF">
        <w:rPr>
          <w:lang w:val="en-GB"/>
        </w:rPr>
        <w:t>s</w:t>
      </w:r>
      <w:r w:rsidR="006B0286">
        <w:rPr>
          <w:lang w:val="en-GB"/>
        </w:rPr>
        <w:t xml:space="preserve"> and </w:t>
      </w:r>
      <w:r w:rsidR="003520AF">
        <w:rPr>
          <w:lang w:val="en-GB"/>
        </w:rPr>
        <w:t>M</w:t>
      </w:r>
      <w:r w:rsidR="006B0286">
        <w:rPr>
          <w:lang w:val="en-GB"/>
        </w:rPr>
        <w:t>ethod</w:t>
      </w:r>
      <w:r w:rsidR="003520AF">
        <w:rPr>
          <w:lang w:val="en-GB"/>
        </w:rPr>
        <w:t>s</w:t>
      </w:r>
      <w:r w:rsidR="006B0286">
        <w:rPr>
          <w:lang w:val="en-GB"/>
        </w:rPr>
        <w:t>” section</w:t>
      </w:r>
      <w:r w:rsidR="002C02C8">
        <w:rPr>
          <w:lang w:val="en-GB"/>
        </w:rPr>
        <w:t xml:space="preserve"> of the </w:t>
      </w:r>
      <w:r w:rsidR="002E1B1A">
        <w:rPr>
          <w:lang w:val="en-GB"/>
        </w:rPr>
        <w:t>paper</w:t>
      </w:r>
      <w:r w:rsidRPr="00B17059">
        <w:rPr>
          <w:lang w:val="en-GB"/>
        </w:rPr>
        <w:t>.</w:t>
      </w:r>
      <w:r>
        <w:rPr>
          <w:lang w:val="en-GB"/>
        </w:rPr>
        <w:t xml:space="preserve"> </w:t>
      </w:r>
      <w:r w:rsidR="00075E61">
        <w:rPr>
          <w:lang w:val="en-GB"/>
        </w:rPr>
        <w:t xml:space="preserve">Nonetheless, a </w:t>
      </w:r>
      <w:r w:rsidRPr="00B17059">
        <w:rPr>
          <w:lang w:val="en-GB"/>
        </w:rPr>
        <w:t>competing risk analysis</w:t>
      </w:r>
      <w:r w:rsidR="00075E61">
        <w:rPr>
          <w:lang w:val="en-GB"/>
        </w:rPr>
        <w:t>, accounting for death and liver transplantation as competing events,</w:t>
      </w:r>
      <w:r w:rsidRPr="00B17059">
        <w:rPr>
          <w:lang w:val="en-GB"/>
        </w:rPr>
        <w:t xml:space="preserve"> revealed a</w:t>
      </w:r>
      <w:r w:rsidR="006F11B9">
        <w:rPr>
          <w:lang w:val="en-GB"/>
        </w:rPr>
        <w:t xml:space="preserve"> significantly</w:t>
      </w:r>
      <w:r w:rsidRPr="00B17059">
        <w:rPr>
          <w:lang w:val="en-GB"/>
        </w:rPr>
        <w:t xml:space="preserve"> higher cumulative incidence of OHE during the first year in the group with an AHR compared to those with </w:t>
      </w:r>
      <w:r w:rsidR="002E1B1A">
        <w:rPr>
          <w:lang w:val="en-GB"/>
        </w:rPr>
        <w:t xml:space="preserve">an </w:t>
      </w:r>
      <w:r w:rsidRPr="00B17059">
        <w:rPr>
          <w:lang w:val="en-GB"/>
        </w:rPr>
        <w:t xml:space="preserve">IHR. </w:t>
      </w:r>
    </w:p>
    <w:p w14:paraId="69A578D5" w14:textId="77777777" w:rsidR="00404E44" w:rsidRPr="00725232" w:rsidRDefault="00404E44" w:rsidP="00494B90">
      <w:pPr>
        <w:spacing w:line="480" w:lineRule="auto"/>
        <w:rPr>
          <w:b/>
          <w:bCs/>
          <w:lang w:val="en-US"/>
        </w:rPr>
      </w:pPr>
    </w:p>
    <w:p w14:paraId="7361549D" w14:textId="6F9E4D31" w:rsidR="00725232" w:rsidRDefault="00725232" w:rsidP="00494B90">
      <w:pPr>
        <w:spacing w:line="480" w:lineRule="auto"/>
        <w:rPr>
          <w:b/>
          <w:bCs/>
          <w:lang w:val="en-US"/>
        </w:rPr>
      </w:pPr>
      <w:r w:rsidRPr="00725232">
        <w:rPr>
          <w:b/>
          <w:bCs/>
          <w:lang w:val="en-US"/>
        </w:rPr>
        <w:t>References</w:t>
      </w:r>
    </w:p>
    <w:p w14:paraId="0FE6E94F" w14:textId="22CDF552" w:rsidR="00B17059" w:rsidRDefault="002E1B1A" w:rsidP="00494B90">
      <w:pPr>
        <w:pStyle w:val="Paragrafoelenco"/>
        <w:numPr>
          <w:ilvl w:val="0"/>
          <w:numId w:val="3"/>
        </w:numPr>
        <w:spacing w:line="480" w:lineRule="auto"/>
        <w:rPr>
          <w:lang w:val="en-GB"/>
        </w:rPr>
      </w:pPr>
      <w:proofErr w:type="spellStart"/>
      <w:r w:rsidRPr="002E1B1A">
        <w:t>Tiede</w:t>
      </w:r>
      <w:proofErr w:type="spellEnd"/>
      <w:r w:rsidRPr="002E1B1A">
        <w:t xml:space="preserve"> A, </w:t>
      </w:r>
      <w:proofErr w:type="spellStart"/>
      <w:r w:rsidRPr="002E1B1A">
        <w:t>Stockhoff</w:t>
      </w:r>
      <w:proofErr w:type="spellEnd"/>
      <w:r w:rsidRPr="002E1B1A">
        <w:t xml:space="preserve"> L, </w:t>
      </w:r>
      <w:proofErr w:type="spellStart"/>
      <w:r w:rsidRPr="002E1B1A">
        <w:t>Rieland</w:t>
      </w:r>
      <w:proofErr w:type="spellEnd"/>
      <w:r w:rsidRPr="002E1B1A">
        <w:t xml:space="preserve"> H, </w:t>
      </w:r>
      <w:proofErr w:type="spellStart"/>
      <w:r w:rsidRPr="002E1B1A">
        <w:t>Liu</w:t>
      </w:r>
      <w:proofErr w:type="spellEnd"/>
      <w:r w:rsidRPr="002E1B1A">
        <w:t xml:space="preserve"> Z, </w:t>
      </w:r>
      <w:proofErr w:type="spellStart"/>
      <w:r w:rsidRPr="002E1B1A">
        <w:t>Mauz</w:t>
      </w:r>
      <w:proofErr w:type="spellEnd"/>
      <w:r w:rsidRPr="002E1B1A">
        <w:t xml:space="preserve"> JB, </w:t>
      </w:r>
      <w:proofErr w:type="spellStart"/>
      <w:r w:rsidRPr="002E1B1A">
        <w:t>Tergast</w:t>
      </w:r>
      <w:proofErr w:type="spellEnd"/>
      <w:r w:rsidRPr="002E1B1A">
        <w:t xml:space="preserve"> TL, </w:t>
      </w:r>
      <w:r>
        <w:t>et al</w:t>
      </w:r>
      <w:r w:rsidRPr="002E1B1A">
        <w:t xml:space="preserve">. No </w:t>
      </w:r>
      <w:proofErr w:type="spellStart"/>
      <w:r w:rsidRPr="002E1B1A">
        <w:t>value</w:t>
      </w:r>
      <w:proofErr w:type="spellEnd"/>
      <w:r w:rsidRPr="002E1B1A">
        <w:t xml:space="preserve"> of non-</w:t>
      </w:r>
      <w:proofErr w:type="spellStart"/>
      <w:r w:rsidRPr="002E1B1A">
        <w:t>selective</w:t>
      </w:r>
      <w:proofErr w:type="spellEnd"/>
      <w:r w:rsidRPr="002E1B1A">
        <w:t xml:space="preserve"> beta-</w:t>
      </w:r>
      <w:proofErr w:type="spellStart"/>
      <w:r w:rsidRPr="002E1B1A">
        <w:t>blockers</w:t>
      </w:r>
      <w:proofErr w:type="spellEnd"/>
      <w:r w:rsidRPr="002E1B1A">
        <w:t xml:space="preserve"> after TIPS-</w:t>
      </w:r>
      <w:proofErr w:type="spellStart"/>
      <w:r w:rsidRPr="002E1B1A">
        <w:t>insertion</w:t>
      </w:r>
      <w:proofErr w:type="spellEnd"/>
      <w:r w:rsidRPr="002E1B1A">
        <w:t>.</w:t>
      </w:r>
      <w:r>
        <w:t xml:space="preserve"> </w:t>
      </w:r>
      <w:r w:rsidR="00B17059" w:rsidRPr="00B17059">
        <w:rPr>
          <w:lang w:val="en-GB"/>
        </w:rPr>
        <w:t xml:space="preserve">Aliment </w:t>
      </w:r>
      <w:proofErr w:type="spellStart"/>
      <w:r w:rsidR="00B17059" w:rsidRPr="00B17059">
        <w:rPr>
          <w:lang w:val="en-GB"/>
        </w:rPr>
        <w:t>Pharmacol</w:t>
      </w:r>
      <w:proofErr w:type="spellEnd"/>
      <w:r w:rsidR="00B17059" w:rsidRPr="00B17059">
        <w:rPr>
          <w:lang w:val="en-GB"/>
        </w:rPr>
        <w:t xml:space="preserve"> </w:t>
      </w:r>
      <w:proofErr w:type="spellStart"/>
      <w:r w:rsidR="00B17059" w:rsidRPr="00B17059">
        <w:rPr>
          <w:lang w:val="en-GB"/>
        </w:rPr>
        <w:t>Ther</w:t>
      </w:r>
      <w:proofErr w:type="spellEnd"/>
      <w:r w:rsidR="00B17059" w:rsidRPr="00B17059">
        <w:rPr>
          <w:lang w:val="en-GB"/>
        </w:rPr>
        <w:t xml:space="preserve"> </w:t>
      </w:r>
      <w:proofErr w:type="gramStart"/>
      <w:r w:rsidR="00B17059" w:rsidRPr="00B17059">
        <w:rPr>
          <w:lang w:val="en-GB"/>
        </w:rPr>
        <w:t>2024;60:1021</w:t>
      </w:r>
      <w:proofErr w:type="gramEnd"/>
      <w:r w:rsidR="00B17059" w:rsidRPr="00B17059">
        <w:rPr>
          <w:lang w:val="en-GB"/>
        </w:rPr>
        <w:t xml:space="preserve">-32. </w:t>
      </w:r>
    </w:p>
    <w:p w14:paraId="55B0A6AA" w14:textId="52E6C798" w:rsidR="00825D22" w:rsidRPr="002E1B1A" w:rsidRDefault="002E1B1A" w:rsidP="00494B90">
      <w:pPr>
        <w:pStyle w:val="Paragrafoelenco"/>
        <w:numPr>
          <w:ilvl w:val="0"/>
          <w:numId w:val="3"/>
        </w:numPr>
        <w:spacing w:line="480" w:lineRule="auto"/>
        <w:rPr>
          <w:lang w:val="en-GB"/>
        </w:rPr>
      </w:pPr>
      <w:r w:rsidRPr="002E1B1A">
        <w:t>Schepis F, Vizzutti F, Garcia-</w:t>
      </w:r>
      <w:proofErr w:type="spellStart"/>
      <w:r w:rsidRPr="002E1B1A">
        <w:t>Tsao</w:t>
      </w:r>
      <w:proofErr w:type="spellEnd"/>
      <w:r w:rsidRPr="002E1B1A">
        <w:t xml:space="preserve"> G, Marzocchi G, Rega L, De Maria N, </w:t>
      </w:r>
      <w:r>
        <w:t>et al</w:t>
      </w:r>
      <w:r w:rsidRPr="002E1B1A">
        <w:t>. Under-</w:t>
      </w:r>
      <w:proofErr w:type="spellStart"/>
      <w:r w:rsidRPr="002E1B1A">
        <w:t>dilated</w:t>
      </w:r>
      <w:proofErr w:type="spellEnd"/>
      <w:r w:rsidRPr="002E1B1A">
        <w:t xml:space="preserve"> TIPS Associate With </w:t>
      </w:r>
      <w:proofErr w:type="spellStart"/>
      <w:r w:rsidRPr="002E1B1A">
        <w:t>Efficacy</w:t>
      </w:r>
      <w:proofErr w:type="spellEnd"/>
      <w:r w:rsidRPr="002E1B1A">
        <w:t xml:space="preserve"> and </w:t>
      </w:r>
      <w:proofErr w:type="spellStart"/>
      <w:r w:rsidRPr="002E1B1A">
        <w:t>Reduced</w:t>
      </w:r>
      <w:proofErr w:type="spellEnd"/>
      <w:r w:rsidRPr="002E1B1A">
        <w:t xml:space="preserve"> </w:t>
      </w:r>
      <w:proofErr w:type="spellStart"/>
      <w:r w:rsidRPr="002E1B1A">
        <w:t>Encephalopathy</w:t>
      </w:r>
      <w:proofErr w:type="spellEnd"/>
      <w:r w:rsidRPr="002E1B1A">
        <w:t xml:space="preserve"> </w:t>
      </w:r>
      <w:proofErr w:type="gramStart"/>
      <w:r w:rsidRPr="002E1B1A">
        <w:t>in a</w:t>
      </w:r>
      <w:proofErr w:type="gramEnd"/>
      <w:r w:rsidRPr="002E1B1A">
        <w:t xml:space="preserve"> </w:t>
      </w:r>
      <w:proofErr w:type="spellStart"/>
      <w:r w:rsidRPr="002E1B1A">
        <w:t>Prospective</w:t>
      </w:r>
      <w:proofErr w:type="spellEnd"/>
      <w:r w:rsidRPr="002E1B1A">
        <w:t>, Non-</w:t>
      </w:r>
      <w:proofErr w:type="spellStart"/>
      <w:r w:rsidRPr="002E1B1A">
        <w:t>randomized</w:t>
      </w:r>
      <w:proofErr w:type="spellEnd"/>
      <w:r w:rsidRPr="002E1B1A">
        <w:t xml:space="preserve"> Study of </w:t>
      </w:r>
      <w:proofErr w:type="spellStart"/>
      <w:r w:rsidRPr="002E1B1A">
        <w:t>Patients</w:t>
      </w:r>
      <w:proofErr w:type="spellEnd"/>
      <w:r w:rsidRPr="002E1B1A">
        <w:t xml:space="preserve"> With </w:t>
      </w:r>
      <w:proofErr w:type="spellStart"/>
      <w:r w:rsidRPr="002E1B1A">
        <w:t>Cirrhosis</w:t>
      </w:r>
      <w:proofErr w:type="spellEnd"/>
      <w:r w:rsidRPr="002E1B1A">
        <w:t>.</w:t>
      </w:r>
      <w:r>
        <w:t xml:space="preserve"> </w:t>
      </w:r>
      <w:r w:rsidR="00B17059" w:rsidRPr="002E1B1A">
        <w:rPr>
          <w:lang w:val="en-GB"/>
        </w:rPr>
        <w:t xml:space="preserve">Clin Gastroenterol Hepatol </w:t>
      </w:r>
      <w:proofErr w:type="gramStart"/>
      <w:r w:rsidR="00B17059" w:rsidRPr="002E1B1A">
        <w:rPr>
          <w:lang w:val="en-GB"/>
        </w:rPr>
        <w:t>2018;16:1153</w:t>
      </w:r>
      <w:proofErr w:type="gramEnd"/>
      <w:r w:rsidR="00B17059" w:rsidRPr="002E1B1A">
        <w:rPr>
          <w:lang w:val="en-GB"/>
        </w:rPr>
        <w:t>-62.</w:t>
      </w:r>
    </w:p>
    <w:p w14:paraId="33D065B2" w14:textId="77777777" w:rsidR="00825D22" w:rsidRDefault="00825D22" w:rsidP="00494B90">
      <w:pPr>
        <w:spacing w:line="480" w:lineRule="auto"/>
        <w:rPr>
          <w:lang w:val="en-GB"/>
        </w:rPr>
      </w:pPr>
    </w:p>
    <w:p w14:paraId="58CE6831" w14:textId="0FDEB757" w:rsidR="009C0C9B" w:rsidRPr="009C0C9B" w:rsidRDefault="009C0C9B" w:rsidP="009C0C9B">
      <w:pPr>
        <w:rPr>
          <w:lang w:val="en-GB"/>
        </w:rPr>
      </w:pPr>
    </w:p>
    <w:sectPr w:rsidR="009C0C9B" w:rsidRPr="009C0C9B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decorative"/>
    <w:pitch w:val="variable"/>
    <w:sig w:usb0="00000003" w:usb1="10000000" w:usb2="00000000" w:usb3="00000000" w:csb0="800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Aptos Display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0002AFF" w:usb1="C000ACFF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5367CB8"/>
    <w:multiLevelType w:val="multilevel"/>
    <w:tmpl w:val="F1BA35F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51D80F3A"/>
    <w:multiLevelType w:val="hybridMultilevel"/>
    <w:tmpl w:val="38F43AC0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1AF4D4A"/>
    <w:multiLevelType w:val="multilevel"/>
    <w:tmpl w:val="BE5AFE9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1355496140">
    <w:abstractNumId w:val="0"/>
  </w:num>
  <w:num w:numId="2" w16cid:durableId="1662805459">
    <w:abstractNumId w:val="2"/>
  </w:num>
  <w:num w:numId="3" w16cid:durableId="120837273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85"/>
  <w:doNotDisplayPageBoundaries/>
  <w:proofState w:spelling="clean" w:grammar="clean"/>
  <w:defaultTabStop w:val="708"/>
  <w:hyphenationZone w:val="283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D0064"/>
    <w:rsid w:val="00075E61"/>
    <w:rsid w:val="000D2B02"/>
    <w:rsid w:val="00180B2B"/>
    <w:rsid w:val="001E34DE"/>
    <w:rsid w:val="001F4DA9"/>
    <w:rsid w:val="002337DC"/>
    <w:rsid w:val="00280839"/>
    <w:rsid w:val="002B72F5"/>
    <w:rsid w:val="002C02C8"/>
    <w:rsid w:val="002C1AEC"/>
    <w:rsid w:val="002C3B16"/>
    <w:rsid w:val="002E1B1A"/>
    <w:rsid w:val="002F368C"/>
    <w:rsid w:val="002F5396"/>
    <w:rsid w:val="00303703"/>
    <w:rsid w:val="003358B2"/>
    <w:rsid w:val="003520AF"/>
    <w:rsid w:val="00372D40"/>
    <w:rsid w:val="00376E01"/>
    <w:rsid w:val="00404E44"/>
    <w:rsid w:val="004353F4"/>
    <w:rsid w:val="00494B90"/>
    <w:rsid w:val="004A3E00"/>
    <w:rsid w:val="004B6637"/>
    <w:rsid w:val="0052690B"/>
    <w:rsid w:val="00533638"/>
    <w:rsid w:val="00541B37"/>
    <w:rsid w:val="00551508"/>
    <w:rsid w:val="00566232"/>
    <w:rsid w:val="005772C5"/>
    <w:rsid w:val="005C44DA"/>
    <w:rsid w:val="005D2ABC"/>
    <w:rsid w:val="005E3355"/>
    <w:rsid w:val="00623F36"/>
    <w:rsid w:val="0063003D"/>
    <w:rsid w:val="006520BC"/>
    <w:rsid w:val="006712CC"/>
    <w:rsid w:val="006A6FD0"/>
    <w:rsid w:val="006B0286"/>
    <w:rsid w:val="006C6283"/>
    <w:rsid w:val="006D4C10"/>
    <w:rsid w:val="006F11B9"/>
    <w:rsid w:val="00725232"/>
    <w:rsid w:val="00755C28"/>
    <w:rsid w:val="00766179"/>
    <w:rsid w:val="0078190C"/>
    <w:rsid w:val="007932D2"/>
    <w:rsid w:val="007A26EE"/>
    <w:rsid w:val="007B23CA"/>
    <w:rsid w:val="007B28D3"/>
    <w:rsid w:val="007C3D6F"/>
    <w:rsid w:val="007E743B"/>
    <w:rsid w:val="007F1CBF"/>
    <w:rsid w:val="008063F6"/>
    <w:rsid w:val="00825D22"/>
    <w:rsid w:val="00865B40"/>
    <w:rsid w:val="008A2765"/>
    <w:rsid w:val="008D2C74"/>
    <w:rsid w:val="008E2598"/>
    <w:rsid w:val="008F22CC"/>
    <w:rsid w:val="008F2A20"/>
    <w:rsid w:val="009210E1"/>
    <w:rsid w:val="009463EB"/>
    <w:rsid w:val="00965C81"/>
    <w:rsid w:val="00991E1D"/>
    <w:rsid w:val="009A7865"/>
    <w:rsid w:val="009C0C9B"/>
    <w:rsid w:val="009C458A"/>
    <w:rsid w:val="009C7416"/>
    <w:rsid w:val="009E0A4C"/>
    <w:rsid w:val="009E4969"/>
    <w:rsid w:val="00A45474"/>
    <w:rsid w:val="00A7621C"/>
    <w:rsid w:val="00AA35EE"/>
    <w:rsid w:val="00AD0064"/>
    <w:rsid w:val="00AD0D3E"/>
    <w:rsid w:val="00AF2421"/>
    <w:rsid w:val="00B16649"/>
    <w:rsid w:val="00B17059"/>
    <w:rsid w:val="00B34C7B"/>
    <w:rsid w:val="00BE2172"/>
    <w:rsid w:val="00C125FA"/>
    <w:rsid w:val="00C26754"/>
    <w:rsid w:val="00C33D05"/>
    <w:rsid w:val="00C45CEA"/>
    <w:rsid w:val="00C603E0"/>
    <w:rsid w:val="00C71356"/>
    <w:rsid w:val="00C94DED"/>
    <w:rsid w:val="00C96E7F"/>
    <w:rsid w:val="00C97DB6"/>
    <w:rsid w:val="00CB3D23"/>
    <w:rsid w:val="00CC67C4"/>
    <w:rsid w:val="00D67421"/>
    <w:rsid w:val="00D71B4D"/>
    <w:rsid w:val="00D9638C"/>
    <w:rsid w:val="00DC0DF5"/>
    <w:rsid w:val="00DF3822"/>
    <w:rsid w:val="00E72615"/>
    <w:rsid w:val="00E8249A"/>
    <w:rsid w:val="00EA37AA"/>
    <w:rsid w:val="00F11369"/>
    <w:rsid w:val="00F1774A"/>
    <w:rsid w:val="00F67870"/>
    <w:rsid w:val="00F724ED"/>
    <w:rsid w:val="00F832F7"/>
    <w:rsid w:val="00F84070"/>
    <w:rsid w:val="00FC0DDE"/>
    <w:rsid w:val="00FF28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015D47E"/>
  <w15:chartTrackingRefBased/>
  <w15:docId w15:val="{3DC5E735-CA86-8C49-9735-86027BC47E8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it-IT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AD0064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AD0064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AD0064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AD0064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AD0064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AD0064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AD0064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AD0064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AD0064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AD0064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AD0064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AD0064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AD0064"/>
    <w:rPr>
      <w:rFonts w:eastAsiaTheme="majorEastAsia" w:cstheme="majorBidi"/>
      <w:i/>
      <w:iCs/>
      <w:color w:val="0F4761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AD0064"/>
    <w:rPr>
      <w:rFonts w:eastAsiaTheme="majorEastAsia" w:cstheme="majorBidi"/>
      <w:color w:val="0F4761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AD0064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AD0064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AD0064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AD0064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AD0064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AD0064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AD0064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AD0064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AD0064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AD0064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AD0064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AD0064"/>
    <w:rPr>
      <w:i/>
      <w:iCs/>
      <w:color w:val="0F4761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AD0064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AD0064"/>
    <w:rPr>
      <w:i/>
      <w:iCs/>
      <w:color w:val="0F4761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AD0064"/>
    <w:rPr>
      <w:b/>
      <w:bCs/>
      <w:smallCaps/>
      <w:color w:val="0F4761" w:themeColor="accent1" w:themeShade="BF"/>
      <w:spacing w:val="5"/>
    </w:rPr>
  </w:style>
  <w:style w:type="character" w:styleId="Rimandocommento">
    <w:name w:val="annotation reference"/>
    <w:basedOn w:val="Carpredefinitoparagrafo"/>
    <w:uiPriority w:val="99"/>
    <w:semiHidden/>
    <w:unhideWhenUsed/>
    <w:rsid w:val="00AD0064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unhideWhenUsed/>
    <w:rsid w:val="00AD0064"/>
    <w:pPr>
      <w:spacing w:line="240" w:lineRule="auto"/>
    </w:pPr>
    <w:rPr>
      <w:kern w:val="0"/>
      <w:sz w:val="20"/>
      <w:szCs w:val="20"/>
      <w14:ligatures w14:val="none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rsid w:val="00AD0064"/>
    <w:rPr>
      <w:kern w:val="0"/>
      <w:sz w:val="20"/>
      <w:szCs w:val="20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06975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80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41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67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7642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107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793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439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172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937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263434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99849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839256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05288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84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489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61831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320975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012406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321931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789925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795758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870397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366633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951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508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795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635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43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964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343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337558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24304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152492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130513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49</TotalTime>
  <Pages>5</Pages>
  <Words>902</Words>
  <Characters>5145</Characters>
  <Application>Microsoft Office Word</Application>
  <DocSecurity>0</DocSecurity>
  <Lines>42</Lines>
  <Paragraphs>12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Francesco Vizzutti</dc:creator>
  <cp:keywords/>
  <dc:description/>
  <cp:lastModifiedBy>Francesco Vizzutti</cp:lastModifiedBy>
  <cp:revision>11</cp:revision>
  <dcterms:created xsi:type="dcterms:W3CDTF">2025-03-26T07:56:00Z</dcterms:created>
  <dcterms:modified xsi:type="dcterms:W3CDTF">2025-03-26T13:44:00Z</dcterms:modified>
</cp:coreProperties>
</file>