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C5C42" w14:textId="2B85D0AD" w:rsidR="001C2F73" w:rsidRPr="00CD6099" w:rsidRDefault="001C2F73" w:rsidP="001C2F73">
      <w:pPr>
        <w:shd w:val="clear" w:color="auto" w:fill="FFFFFF"/>
        <w:rPr>
          <w:rFonts w:ascii="Helvetica" w:eastAsia="Times New Roman" w:hAnsi="Helvetica" w:cs="Arial"/>
          <w:b/>
          <w:bCs/>
          <w:color w:val="1F4F9D"/>
          <w:sz w:val="20"/>
          <w:szCs w:val="20"/>
          <w:lang w:val="en-US" w:eastAsia="it-IT"/>
        </w:rPr>
      </w:pPr>
      <w:r w:rsidRPr="00CD6099">
        <w:rPr>
          <w:rFonts w:ascii="Helvetica" w:hAnsi="Helvetica"/>
          <w:noProof/>
          <w:color w:val="212957"/>
          <w:sz w:val="20"/>
          <w:szCs w:val="20"/>
          <w:lang w:val="en-US"/>
        </w:rPr>
        <w:drawing>
          <wp:anchor distT="0" distB="0" distL="114300" distR="114300" simplePos="0" relativeHeight="251659264" behindDoc="0" locked="0" layoutInCell="1" allowOverlap="1" wp14:anchorId="4E145089" wp14:editId="3F6EE8A7">
            <wp:simplePos x="0" y="0"/>
            <wp:positionH relativeFrom="margin">
              <wp:align>right</wp:align>
            </wp:positionH>
            <wp:positionV relativeFrom="margin">
              <wp:align>top</wp:align>
            </wp:positionV>
            <wp:extent cx="1682750" cy="523238"/>
            <wp:effectExtent l="0" t="0" r="0" b="0"/>
            <wp:wrapSquare wrapText="bothSides"/>
            <wp:docPr id="1667774084" name="Immagine 1" descr="Immagine che contiene testo, Carattere, logo,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74084" name="Immagine 1" descr="Immagine che contiene testo, Carattere, logo, simbolo&#10;&#10;Il contenuto generato dall'IA potrebbe non essere corretto."/>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682750" cy="523238"/>
                    </a:xfrm>
                    <a:prstGeom prst="rect">
                      <a:avLst/>
                    </a:prstGeom>
                  </pic:spPr>
                </pic:pic>
              </a:graphicData>
            </a:graphic>
            <wp14:sizeRelH relativeFrom="page">
              <wp14:pctWidth>0</wp14:pctWidth>
            </wp14:sizeRelH>
            <wp14:sizeRelV relativeFrom="page">
              <wp14:pctHeight>0</wp14:pctHeight>
            </wp14:sizeRelV>
          </wp:anchor>
        </w:drawing>
      </w:r>
      <w:r w:rsidRPr="00CD6099">
        <w:rPr>
          <w:rFonts w:ascii="Helvetica" w:hAnsi="Helvetica"/>
          <w:color w:val="212957"/>
          <w:sz w:val="20"/>
          <w:szCs w:val="20"/>
          <w:lang w:val="en-US"/>
        </w:rPr>
        <w:t>2</w:t>
      </w:r>
      <w:r w:rsidRPr="00CD6099">
        <w:rPr>
          <w:rFonts w:ascii="Helvetica" w:hAnsi="Helvetica"/>
          <w:color w:val="212957"/>
          <w:sz w:val="20"/>
          <w:szCs w:val="20"/>
          <w:vertAlign w:val="superscript"/>
          <w:lang w:val="en-US"/>
        </w:rPr>
        <w:t>nd</w:t>
      </w:r>
      <w:r w:rsidRPr="00CD6099">
        <w:rPr>
          <w:rFonts w:ascii="Helvetica" w:hAnsi="Helvetica"/>
          <w:color w:val="212957"/>
          <w:sz w:val="20"/>
          <w:szCs w:val="20"/>
          <w:lang w:val="en-US"/>
        </w:rPr>
        <w:t xml:space="preserve"> EuChemS Chemical Biology School on</w:t>
      </w:r>
    </w:p>
    <w:p w14:paraId="728C4A68" w14:textId="77777777" w:rsidR="001C2F73" w:rsidRPr="00CD6099" w:rsidRDefault="001C2F73" w:rsidP="001C2F73">
      <w:pPr>
        <w:pStyle w:val="Intestazione"/>
        <w:rPr>
          <w:rFonts w:ascii="Helvetica" w:hAnsi="Helvetica"/>
          <w:i/>
          <w:iCs/>
          <w:color w:val="212957"/>
          <w:sz w:val="20"/>
          <w:szCs w:val="20"/>
          <w:lang w:val="en-US"/>
        </w:rPr>
      </w:pPr>
      <w:r w:rsidRPr="00CD6099">
        <w:rPr>
          <w:rFonts w:ascii="Helvetica" w:hAnsi="Helvetica"/>
          <w:i/>
          <w:iCs/>
          <w:color w:val="212957"/>
          <w:sz w:val="20"/>
          <w:szCs w:val="20"/>
          <w:lang w:val="en-US"/>
        </w:rPr>
        <w:t>“Biophysical Approaches in Chemical Biology and Drug Discovery”</w:t>
      </w:r>
    </w:p>
    <w:p w14:paraId="0B0F707F" w14:textId="77777777" w:rsidR="001C2F73" w:rsidRPr="00CD6099" w:rsidRDefault="001C2F73" w:rsidP="001C2F73">
      <w:pPr>
        <w:pStyle w:val="Intestazione"/>
        <w:rPr>
          <w:rFonts w:ascii="Helvetica" w:hAnsi="Helvetica"/>
          <w:i/>
          <w:iCs/>
          <w:color w:val="212957"/>
          <w:sz w:val="20"/>
          <w:szCs w:val="20"/>
          <w:lang w:val="en-US"/>
        </w:rPr>
      </w:pPr>
      <w:r w:rsidRPr="00CD6099">
        <w:rPr>
          <w:rFonts w:ascii="Helvetica" w:hAnsi="Helvetica"/>
          <w:i/>
          <w:iCs/>
          <w:color w:val="212957"/>
          <w:sz w:val="20"/>
          <w:szCs w:val="20"/>
          <w:lang w:val="en-US"/>
        </w:rPr>
        <w:t>Naples, 10 -12 June 2026</w:t>
      </w:r>
    </w:p>
    <w:p w14:paraId="6A5B5D39" w14:textId="77777777" w:rsidR="001C2F73" w:rsidRPr="001C2F73" w:rsidRDefault="001C2F73" w:rsidP="001C2F73">
      <w:pPr>
        <w:shd w:val="clear" w:color="auto" w:fill="FFFFFF"/>
        <w:rPr>
          <w:rFonts w:ascii="Helvetica" w:eastAsia="Times New Roman" w:hAnsi="Helvetica" w:cs="Arial"/>
          <w:b/>
          <w:bCs/>
          <w:color w:val="222222"/>
          <w:sz w:val="22"/>
          <w:szCs w:val="22"/>
          <w:lang w:val="en-US" w:eastAsia="it-IT"/>
        </w:rPr>
      </w:pPr>
    </w:p>
    <w:p w14:paraId="367FB041" w14:textId="77777777" w:rsidR="00E6687B" w:rsidRPr="001C2F73" w:rsidRDefault="00E6687B">
      <w:pPr>
        <w:rPr>
          <w:rFonts w:ascii="Helvetica" w:hAnsi="Helvetica"/>
          <w:sz w:val="22"/>
          <w:szCs w:val="22"/>
          <w:lang w:val="en-US"/>
        </w:rPr>
      </w:pPr>
    </w:p>
    <w:p w14:paraId="1A242062" w14:textId="77777777" w:rsidR="001C2F73" w:rsidRPr="001C2F73" w:rsidRDefault="001C2F73">
      <w:pPr>
        <w:rPr>
          <w:rFonts w:ascii="Helvetica" w:hAnsi="Helvetica"/>
          <w:sz w:val="22"/>
          <w:szCs w:val="22"/>
          <w:lang w:val="en-US"/>
        </w:rPr>
      </w:pPr>
    </w:p>
    <w:p w14:paraId="241F017D" w14:textId="0B6F1550" w:rsidR="001C2F73" w:rsidRPr="001C2F73" w:rsidRDefault="00337778" w:rsidP="001C2F73">
      <w:pPr>
        <w:shd w:val="clear" w:color="auto" w:fill="FFFFFF"/>
        <w:jc w:val="center"/>
        <w:rPr>
          <w:rFonts w:ascii="Arial" w:eastAsia="Times New Roman" w:hAnsi="Arial" w:cs="Arial"/>
          <w:color w:val="222222"/>
          <w:sz w:val="28"/>
          <w:szCs w:val="28"/>
          <w:lang w:val="en-US" w:eastAsia="it-IT"/>
        </w:rPr>
      </w:pPr>
      <w:r w:rsidRPr="00337778">
        <w:rPr>
          <w:rFonts w:ascii="Arial" w:eastAsia="Times New Roman" w:hAnsi="Arial" w:cs="Arial"/>
          <w:b/>
          <w:bCs/>
          <w:color w:val="222222"/>
          <w:sz w:val="28"/>
          <w:szCs w:val="28"/>
          <w:lang w:val="en-US" w:eastAsia="it-IT"/>
        </w:rPr>
        <w:t>Molecular Impact Of The Glrx5 Met128lys Mutation In Human Congenital Sideroblastic Anemia</w:t>
      </w:r>
    </w:p>
    <w:p w14:paraId="5488DB65" w14:textId="77777777" w:rsidR="001C2F73" w:rsidRPr="001C2F73" w:rsidRDefault="001C2F73" w:rsidP="001C2F73">
      <w:pPr>
        <w:shd w:val="clear" w:color="auto" w:fill="FFFFFF"/>
        <w:jc w:val="center"/>
        <w:rPr>
          <w:rFonts w:ascii="Arial" w:eastAsia="Times New Roman" w:hAnsi="Arial" w:cs="Arial"/>
          <w:color w:val="222222"/>
          <w:sz w:val="28"/>
          <w:szCs w:val="28"/>
          <w:u w:val="single"/>
          <w:lang w:val="en-US" w:eastAsia="it-IT"/>
        </w:rPr>
      </w:pPr>
    </w:p>
    <w:p w14:paraId="21559A5E" w14:textId="53BB52C3" w:rsidR="001C2F73" w:rsidRPr="001C2F73" w:rsidRDefault="00337778" w:rsidP="001C2F73">
      <w:pPr>
        <w:shd w:val="clear" w:color="auto" w:fill="FFFFFF"/>
        <w:spacing w:after="120"/>
        <w:jc w:val="center"/>
        <w:rPr>
          <w:rFonts w:ascii="Arial" w:eastAsia="Times New Roman" w:hAnsi="Arial" w:cs="Arial"/>
          <w:color w:val="222222"/>
          <w:sz w:val="22"/>
          <w:szCs w:val="22"/>
          <w:lang w:val="en-US" w:eastAsia="it-IT"/>
        </w:rPr>
      </w:pPr>
      <w:r>
        <w:rPr>
          <w:rFonts w:ascii="Arial" w:eastAsia="Times New Roman" w:hAnsi="Arial" w:cs="Arial"/>
          <w:color w:val="222222"/>
          <w:sz w:val="22"/>
          <w:szCs w:val="22"/>
          <w:u w:val="single"/>
          <w:lang w:val="en-US" w:eastAsia="it-IT"/>
        </w:rPr>
        <w:t>Rosanna Cuccaro</w:t>
      </w:r>
      <w:r w:rsidR="001C2F73" w:rsidRPr="001C2F73">
        <w:rPr>
          <w:rFonts w:ascii="Arial" w:eastAsia="Times New Roman" w:hAnsi="Arial" w:cs="Arial"/>
          <w:color w:val="222222"/>
          <w:sz w:val="22"/>
          <w:szCs w:val="22"/>
          <w:lang w:val="en-US" w:eastAsia="it-IT"/>
        </w:rPr>
        <w:t>,</w:t>
      </w:r>
      <w:r w:rsidR="001C2F73" w:rsidRPr="001C2F73">
        <w:rPr>
          <w:rFonts w:ascii="Arial" w:eastAsia="Times New Roman" w:hAnsi="Arial" w:cs="Arial"/>
          <w:i/>
          <w:iCs/>
          <w:color w:val="222222"/>
          <w:sz w:val="22"/>
          <w:szCs w:val="22"/>
          <w:vertAlign w:val="superscript"/>
          <w:lang w:val="en-US" w:eastAsia="it-IT"/>
        </w:rPr>
        <w:t>a</w:t>
      </w:r>
      <w:r w:rsidR="001C2F73" w:rsidRPr="001C2F73">
        <w:rPr>
          <w:rFonts w:ascii="Arial" w:eastAsia="Times New Roman" w:hAnsi="Arial" w:cs="Arial"/>
          <w:color w:val="222222"/>
          <w:sz w:val="22"/>
          <w:szCs w:val="22"/>
          <w:lang w:val="en-US" w:eastAsia="it-IT"/>
        </w:rPr>
        <w:t xml:space="preserve"> </w:t>
      </w:r>
      <w:r>
        <w:rPr>
          <w:rFonts w:ascii="Arial" w:eastAsia="Times New Roman" w:hAnsi="Arial" w:cs="Arial"/>
          <w:color w:val="222222"/>
          <w:sz w:val="22"/>
          <w:szCs w:val="22"/>
          <w:lang w:val="en-US" w:eastAsia="it-IT"/>
        </w:rPr>
        <w:t>Lucia Banci</w:t>
      </w:r>
      <w:r w:rsidR="001C2F73" w:rsidRPr="001C2F73">
        <w:rPr>
          <w:rFonts w:ascii="Arial" w:eastAsia="Times New Roman" w:hAnsi="Arial" w:cs="Arial"/>
          <w:i/>
          <w:iCs/>
          <w:color w:val="222222"/>
          <w:sz w:val="22"/>
          <w:szCs w:val="22"/>
          <w:vertAlign w:val="superscript"/>
          <w:lang w:val="en-US" w:eastAsia="it-IT"/>
        </w:rPr>
        <w:t>a</w:t>
      </w:r>
      <w:r>
        <w:rPr>
          <w:rFonts w:ascii="Arial" w:eastAsia="Times New Roman" w:hAnsi="Arial" w:cs="Arial"/>
          <w:i/>
          <w:iCs/>
          <w:color w:val="222222"/>
          <w:sz w:val="22"/>
          <w:szCs w:val="22"/>
          <w:vertAlign w:val="superscript"/>
          <w:lang w:val="en-US" w:eastAsia="it-IT"/>
        </w:rPr>
        <w:t>,b,c</w:t>
      </w:r>
      <w:r w:rsidR="001C2F73" w:rsidRPr="001C2F73">
        <w:rPr>
          <w:rFonts w:ascii="Arial" w:eastAsia="Times New Roman" w:hAnsi="Arial" w:cs="Arial"/>
          <w:color w:val="222222"/>
          <w:sz w:val="22"/>
          <w:szCs w:val="22"/>
          <w:lang w:val="en-US" w:eastAsia="it-IT"/>
        </w:rPr>
        <w:t xml:space="preserve"> </w:t>
      </w:r>
    </w:p>
    <w:p w14:paraId="7CA81658" w14:textId="1A97C4B9" w:rsidR="00337778" w:rsidRDefault="00337778" w:rsidP="006E6F39">
      <w:pPr>
        <w:jc w:val="center"/>
        <w:rPr>
          <w:rFonts w:ascii="Arial" w:eastAsia="Times New Roman" w:hAnsi="Arial" w:cs="Arial"/>
          <w:i/>
          <w:iCs/>
          <w:color w:val="000000"/>
          <w:sz w:val="20"/>
          <w:szCs w:val="20"/>
          <w:vertAlign w:val="superscript"/>
          <w:lang w:eastAsia="it-IT"/>
        </w:rPr>
      </w:pPr>
      <w:r w:rsidRPr="00337778">
        <w:rPr>
          <w:rFonts w:ascii="Arial" w:eastAsia="Times New Roman" w:hAnsi="Arial" w:cs="Arial"/>
          <w:i/>
          <w:iCs/>
          <w:color w:val="000000"/>
          <w:sz w:val="20"/>
          <w:szCs w:val="20"/>
          <w:vertAlign w:val="superscript"/>
          <w:lang w:eastAsia="it-IT"/>
        </w:rPr>
        <w:t>a</w:t>
      </w:r>
      <w:r w:rsidRPr="00337778">
        <w:rPr>
          <w:rFonts w:ascii="Arial" w:eastAsia="Times New Roman" w:hAnsi="Arial" w:cs="Arial"/>
          <w:i/>
          <w:iCs/>
          <w:color w:val="000000"/>
          <w:sz w:val="20"/>
          <w:szCs w:val="20"/>
          <w:lang w:eastAsia="it-IT"/>
        </w:rPr>
        <w:t xml:space="preserve"> </w:t>
      </w:r>
      <w:r w:rsidRPr="00274CA4">
        <w:rPr>
          <w:rFonts w:ascii="Arial" w:hAnsi="Arial" w:cs="Arial"/>
          <w:i/>
          <w:iCs/>
          <w:sz w:val="20"/>
          <w:szCs w:val="20"/>
        </w:rPr>
        <w:t>Magnetic Resonance Center CERM, University of Florence, Sesto Fiorentino, Italy</w:t>
      </w:r>
      <w:r w:rsidRPr="00274CA4">
        <w:rPr>
          <w:rFonts w:ascii="Arial" w:eastAsia="Times New Roman" w:hAnsi="Arial" w:cs="Arial"/>
          <w:i/>
          <w:iCs/>
          <w:color w:val="000000"/>
          <w:sz w:val="20"/>
          <w:szCs w:val="20"/>
          <w:lang w:eastAsia="it-IT"/>
        </w:rPr>
        <w:t>;</w:t>
      </w:r>
    </w:p>
    <w:p w14:paraId="7DBF733D" w14:textId="12467FF9" w:rsidR="00337778" w:rsidRDefault="00337778" w:rsidP="006E6F39">
      <w:pPr>
        <w:jc w:val="center"/>
        <w:rPr>
          <w:rFonts w:ascii="Arial" w:eastAsia="Times New Roman" w:hAnsi="Arial" w:cs="Arial"/>
          <w:i/>
          <w:iCs/>
          <w:color w:val="000000"/>
          <w:sz w:val="20"/>
          <w:szCs w:val="20"/>
          <w:lang w:eastAsia="it-IT"/>
        </w:rPr>
      </w:pPr>
      <w:r>
        <w:rPr>
          <w:rFonts w:ascii="Arial" w:eastAsia="Times New Roman" w:hAnsi="Arial" w:cs="Arial"/>
          <w:i/>
          <w:iCs/>
          <w:color w:val="000000"/>
          <w:sz w:val="20"/>
          <w:szCs w:val="20"/>
          <w:vertAlign w:val="superscript"/>
          <w:lang w:eastAsia="it-IT"/>
        </w:rPr>
        <w:t>b</w:t>
      </w:r>
      <w:r w:rsidRPr="00274CA4">
        <w:rPr>
          <w:rFonts w:ascii="Arial" w:eastAsia="Times New Roman" w:hAnsi="Arial" w:cs="Arial"/>
          <w:i/>
          <w:iCs/>
          <w:color w:val="000000"/>
          <w:sz w:val="20"/>
          <w:szCs w:val="20"/>
          <w:lang w:eastAsia="it-IT"/>
        </w:rPr>
        <w:t xml:space="preserve"> </w:t>
      </w:r>
      <w:r w:rsidRPr="00274CA4">
        <w:rPr>
          <w:rFonts w:ascii="Arial" w:hAnsi="Arial" w:cs="Arial"/>
          <w:i/>
          <w:iCs/>
          <w:sz w:val="20"/>
          <w:szCs w:val="20"/>
        </w:rPr>
        <w:t>Consorzio Interuniversitario Risonanze Magnetiche di Metalloproteine (CIRMMP),</w:t>
      </w:r>
      <w:r w:rsidR="00393072">
        <w:rPr>
          <w:rFonts w:ascii="Arial" w:hAnsi="Arial" w:cs="Arial"/>
          <w:i/>
          <w:iCs/>
          <w:sz w:val="20"/>
          <w:szCs w:val="20"/>
        </w:rPr>
        <w:t xml:space="preserve"> </w:t>
      </w:r>
      <w:r w:rsidRPr="00274CA4">
        <w:rPr>
          <w:rFonts w:ascii="Arial" w:hAnsi="Arial" w:cs="Arial"/>
          <w:i/>
          <w:iCs/>
          <w:sz w:val="20"/>
          <w:szCs w:val="20"/>
        </w:rPr>
        <w:t>Sesto Fiorentino, Italy</w:t>
      </w:r>
      <w:r w:rsidRPr="00274CA4">
        <w:rPr>
          <w:rFonts w:ascii="Arial" w:eastAsia="Times New Roman" w:hAnsi="Arial" w:cs="Arial"/>
          <w:i/>
          <w:iCs/>
          <w:color w:val="000000"/>
          <w:sz w:val="20"/>
          <w:szCs w:val="20"/>
          <w:lang w:eastAsia="it-IT"/>
        </w:rPr>
        <w:t>;</w:t>
      </w:r>
    </w:p>
    <w:p w14:paraId="0024B458" w14:textId="03AE34B9" w:rsidR="00337778" w:rsidRPr="001B1BB8" w:rsidRDefault="00337778" w:rsidP="006E6F39">
      <w:pPr>
        <w:jc w:val="center"/>
        <w:rPr>
          <w:rFonts w:ascii="Arial" w:eastAsia="Times New Roman" w:hAnsi="Arial" w:cs="Arial"/>
          <w:i/>
          <w:iCs/>
          <w:color w:val="000000"/>
          <w:sz w:val="20"/>
          <w:szCs w:val="20"/>
          <w:lang w:eastAsia="it-IT"/>
        </w:rPr>
      </w:pPr>
      <w:r>
        <w:rPr>
          <w:rFonts w:ascii="Arial" w:eastAsia="Times New Roman" w:hAnsi="Arial" w:cs="Arial"/>
          <w:i/>
          <w:iCs/>
          <w:color w:val="000000"/>
          <w:sz w:val="20"/>
          <w:szCs w:val="20"/>
          <w:vertAlign w:val="superscript"/>
          <w:lang w:eastAsia="it-IT"/>
        </w:rPr>
        <w:t>c</w:t>
      </w:r>
      <w:r w:rsidRPr="00274CA4">
        <w:rPr>
          <w:rFonts w:ascii="Arial" w:eastAsia="Times New Roman" w:hAnsi="Arial" w:cs="Arial"/>
          <w:i/>
          <w:iCs/>
          <w:color w:val="000000"/>
          <w:sz w:val="20"/>
          <w:szCs w:val="20"/>
          <w:lang w:eastAsia="it-IT"/>
        </w:rPr>
        <w:t xml:space="preserve"> </w:t>
      </w:r>
      <w:r w:rsidRPr="00274CA4">
        <w:rPr>
          <w:rFonts w:ascii="Arial" w:hAnsi="Arial" w:cs="Arial"/>
          <w:i/>
          <w:iCs/>
          <w:sz w:val="20"/>
          <w:szCs w:val="20"/>
        </w:rPr>
        <w:t>Department of Chemistry, University of Florence, Sesto Fiorentino, Italy</w:t>
      </w:r>
      <w:r w:rsidRPr="00274CA4">
        <w:rPr>
          <w:rFonts w:ascii="Arial" w:eastAsia="Times New Roman" w:hAnsi="Arial" w:cs="Arial"/>
          <w:i/>
          <w:iCs/>
          <w:color w:val="000000"/>
          <w:sz w:val="20"/>
          <w:szCs w:val="20"/>
          <w:lang w:eastAsia="it-IT"/>
        </w:rPr>
        <w:t>.</w:t>
      </w:r>
    </w:p>
    <w:p w14:paraId="3FF93D7B" w14:textId="1B274BB8" w:rsidR="001C2F73" w:rsidRPr="001C2F73" w:rsidRDefault="001C2F73" w:rsidP="001C2F73">
      <w:pPr>
        <w:shd w:val="clear" w:color="auto" w:fill="FFFFFF"/>
        <w:jc w:val="center"/>
        <w:rPr>
          <w:rFonts w:ascii="Arial" w:eastAsia="Times New Roman" w:hAnsi="Arial" w:cs="Arial"/>
          <w:i/>
          <w:iCs/>
          <w:color w:val="222222"/>
          <w:sz w:val="20"/>
          <w:szCs w:val="20"/>
          <w:lang w:val="en-US" w:eastAsia="it-IT"/>
        </w:rPr>
      </w:pPr>
    </w:p>
    <w:p w14:paraId="57D42B47" w14:textId="10E2EB21" w:rsidR="001C2F73" w:rsidRPr="001C2F73" w:rsidRDefault="00337778" w:rsidP="001C2F73">
      <w:pPr>
        <w:shd w:val="clear" w:color="auto" w:fill="FFFFFF"/>
        <w:jc w:val="center"/>
        <w:rPr>
          <w:rFonts w:ascii="Arial" w:eastAsia="Times New Roman" w:hAnsi="Arial" w:cs="Arial"/>
          <w:b/>
          <w:bCs/>
          <w:i/>
          <w:iCs/>
          <w:color w:val="222222"/>
          <w:sz w:val="20"/>
          <w:szCs w:val="20"/>
          <w:lang w:val="en-US" w:eastAsia="it-IT"/>
        </w:rPr>
      </w:pPr>
      <w:r w:rsidRPr="00337778">
        <w:rPr>
          <w:rFonts w:ascii="Arial" w:eastAsia="Times New Roman" w:hAnsi="Arial" w:cs="Arial"/>
          <w:b/>
          <w:bCs/>
          <w:i/>
          <w:iCs/>
          <w:color w:val="222222"/>
          <w:sz w:val="20"/>
          <w:szCs w:val="20"/>
          <w:lang w:val="en-US" w:eastAsia="it-IT"/>
        </w:rPr>
        <w:t>rosanna.cuccaro@unifi.it</w:t>
      </w:r>
    </w:p>
    <w:p w14:paraId="018D1751" w14:textId="77777777" w:rsidR="001C2F73" w:rsidRDefault="001C2F73" w:rsidP="001C2F73">
      <w:pPr>
        <w:shd w:val="clear" w:color="auto" w:fill="FFFFFF"/>
        <w:jc w:val="center"/>
        <w:rPr>
          <w:rFonts w:ascii="Arial" w:eastAsia="Times New Roman" w:hAnsi="Arial" w:cs="Arial"/>
          <w:color w:val="222222"/>
          <w:sz w:val="22"/>
          <w:szCs w:val="22"/>
          <w:lang w:val="en-US" w:eastAsia="it-IT"/>
        </w:rPr>
      </w:pPr>
    </w:p>
    <w:p w14:paraId="7B669162" w14:textId="77777777" w:rsidR="001C2F73" w:rsidRPr="001C2F73" w:rsidRDefault="001C2F73" w:rsidP="001C2F73">
      <w:pPr>
        <w:shd w:val="clear" w:color="auto" w:fill="FFFFFF"/>
        <w:jc w:val="center"/>
        <w:rPr>
          <w:rFonts w:ascii="Arial" w:eastAsia="Times New Roman" w:hAnsi="Arial" w:cs="Arial"/>
          <w:color w:val="222222"/>
          <w:sz w:val="22"/>
          <w:szCs w:val="22"/>
          <w:lang w:val="en-US" w:eastAsia="it-IT"/>
        </w:rPr>
      </w:pPr>
    </w:p>
    <w:p w14:paraId="01BA1D1D" w14:textId="3088680E" w:rsidR="00337778" w:rsidRPr="00337778" w:rsidRDefault="00337778" w:rsidP="00337778">
      <w:pPr>
        <w:shd w:val="clear" w:color="auto" w:fill="FFFFFF"/>
        <w:jc w:val="both"/>
        <w:rPr>
          <w:rFonts w:ascii="Arial" w:eastAsia="Times New Roman" w:hAnsi="Arial" w:cs="Arial"/>
          <w:color w:val="222222"/>
          <w:sz w:val="22"/>
          <w:szCs w:val="22"/>
          <w:lang w:val="en-US" w:eastAsia="it-IT"/>
        </w:rPr>
      </w:pPr>
      <w:r w:rsidRPr="00337778">
        <w:rPr>
          <w:rFonts w:ascii="Arial" w:eastAsia="Times New Roman" w:hAnsi="Arial" w:cs="Arial"/>
          <w:color w:val="222222"/>
          <w:sz w:val="22"/>
          <w:szCs w:val="22"/>
          <w:lang w:val="en-US" w:eastAsia="it-IT"/>
        </w:rPr>
        <w:t xml:space="preserve">Iron-sulfur (Fe-S) cluster biosynthesis in eukaryotic cells is </w:t>
      </w:r>
      <w:r w:rsidR="002E5006">
        <w:rPr>
          <w:rFonts w:ascii="Arial" w:eastAsia="Times New Roman" w:hAnsi="Arial" w:cs="Arial"/>
          <w:color w:val="222222"/>
          <w:sz w:val="22"/>
          <w:szCs w:val="22"/>
          <w:lang w:val="en-US" w:eastAsia="it-IT"/>
        </w:rPr>
        <w:t>mediated</w:t>
      </w:r>
      <w:r w:rsidRPr="00337778">
        <w:rPr>
          <w:rFonts w:ascii="Arial" w:eastAsia="Times New Roman" w:hAnsi="Arial" w:cs="Arial"/>
          <w:color w:val="222222"/>
          <w:sz w:val="22"/>
          <w:szCs w:val="22"/>
          <w:lang w:val="en-US" w:eastAsia="it-IT"/>
        </w:rPr>
        <w:t xml:space="preserve"> by specialized protein systems [1]. Among these, the ISC machinery is essential for </w:t>
      </w:r>
      <w:r w:rsidR="00C76598" w:rsidRPr="00C76598">
        <w:rPr>
          <w:rFonts w:ascii="Arial" w:eastAsia="Times New Roman" w:hAnsi="Arial" w:cs="Arial"/>
          <w:color w:val="222222"/>
          <w:sz w:val="22"/>
          <w:szCs w:val="22"/>
          <w:lang w:eastAsia="it-IT"/>
        </w:rPr>
        <w:t>cellular metabolism</w:t>
      </w:r>
      <w:r w:rsidRPr="00337778">
        <w:rPr>
          <w:rFonts w:ascii="Arial" w:eastAsia="Times New Roman" w:hAnsi="Arial" w:cs="Arial"/>
          <w:color w:val="222222"/>
          <w:sz w:val="22"/>
          <w:szCs w:val="22"/>
          <w:lang w:val="en-US" w:eastAsia="it-IT"/>
        </w:rPr>
        <w:t xml:space="preserve">, and pathogenic mutations in its components cause severe human diseases. One such disorder is Congenital Sideroblastic anemia (SIDBA3), which is characterized by defective heme synthesis, iron accumulation, and the presence of ringed sideroblasts in erythroid precursors [2]. </w:t>
      </w:r>
    </w:p>
    <w:p w14:paraId="5BFB9456" w14:textId="55A53C2D" w:rsidR="00337778" w:rsidRPr="00337778" w:rsidRDefault="00337778" w:rsidP="00337778">
      <w:pPr>
        <w:shd w:val="clear" w:color="auto" w:fill="FFFFFF"/>
        <w:jc w:val="both"/>
        <w:rPr>
          <w:rFonts w:ascii="Arial" w:eastAsia="Times New Roman" w:hAnsi="Arial" w:cs="Arial"/>
          <w:color w:val="222222"/>
          <w:sz w:val="22"/>
          <w:szCs w:val="22"/>
          <w:lang w:val="en-US" w:eastAsia="it-IT"/>
        </w:rPr>
      </w:pPr>
      <w:r w:rsidRPr="00337778">
        <w:rPr>
          <w:rFonts w:ascii="Arial" w:eastAsia="Times New Roman" w:hAnsi="Arial" w:cs="Arial"/>
          <w:color w:val="222222"/>
          <w:sz w:val="22"/>
          <w:szCs w:val="22"/>
          <w:lang w:val="en-US" w:eastAsia="it-IT"/>
        </w:rPr>
        <w:t>Missense mutations in human glutaredoxin 5 (GLRX5), a mitochondrial monothiol glutaredoxin, have been linked to SIDBA3 [3,4] and are known to impair Fe-S cluster</w:t>
      </w:r>
      <w:r w:rsidR="00913B42">
        <w:rPr>
          <w:rFonts w:ascii="Arial" w:eastAsia="Times New Roman" w:hAnsi="Arial" w:cs="Arial"/>
          <w:color w:val="222222"/>
          <w:sz w:val="22"/>
          <w:szCs w:val="22"/>
          <w:lang w:val="en-US" w:eastAsia="it-IT"/>
        </w:rPr>
        <w:t xml:space="preserve"> biogenesis</w:t>
      </w:r>
      <w:r w:rsidRPr="00337778">
        <w:rPr>
          <w:rFonts w:ascii="Arial" w:eastAsia="Times New Roman" w:hAnsi="Arial" w:cs="Arial"/>
          <w:color w:val="222222"/>
          <w:sz w:val="22"/>
          <w:szCs w:val="22"/>
          <w:lang w:val="en-US" w:eastAsia="it-IT"/>
        </w:rPr>
        <w:t xml:space="preserve">, thereby affecting enzymes involved in mitochondrial respiration, DNA repair, and heme synthesis [5]. </w:t>
      </w:r>
      <w:r w:rsidR="00B339D2" w:rsidRPr="00B339D2">
        <w:rPr>
          <w:rFonts w:ascii="Arial" w:eastAsia="Times New Roman" w:hAnsi="Arial" w:cs="Arial"/>
          <w:color w:val="222222"/>
          <w:sz w:val="22"/>
          <w:szCs w:val="22"/>
          <w:lang w:eastAsia="it-IT"/>
        </w:rPr>
        <w:t>GLRX5 binds a [2Fe</w:t>
      </w:r>
      <w:r w:rsidR="00B339D2">
        <w:rPr>
          <w:rFonts w:ascii="Arial" w:eastAsia="Times New Roman" w:hAnsi="Arial" w:cs="Arial"/>
          <w:color w:val="222222"/>
          <w:sz w:val="22"/>
          <w:szCs w:val="22"/>
          <w:lang w:eastAsia="it-IT"/>
        </w:rPr>
        <w:t>-</w:t>
      </w:r>
      <w:r w:rsidR="00B339D2" w:rsidRPr="00B339D2">
        <w:rPr>
          <w:rFonts w:ascii="Arial" w:eastAsia="Times New Roman" w:hAnsi="Arial" w:cs="Arial"/>
          <w:color w:val="222222"/>
          <w:sz w:val="22"/>
          <w:szCs w:val="22"/>
          <w:lang w:eastAsia="it-IT"/>
        </w:rPr>
        <w:t>2S] cluster either as a homodimer or in complex with BOLA3, where the cluster bridges the two subunits</w:t>
      </w:r>
      <w:r w:rsidRPr="00337778">
        <w:rPr>
          <w:rFonts w:ascii="Arial" w:eastAsia="Times New Roman" w:hAnsi="Arial" w:cs="Arial"/>
          <w:color w:val="222222"/>
          <w:sz w:val="22"/>
          <w:szCs w:val="22"/>
          <w:lang w:val="en-US" w:eastAsia="it-IT"/>
        </w:rPr>
        <w:t xml:space="preserve"> [6,7]. The holo GLRX5-BOLA3 complex can transfer in vitro its [2Fe-2S] cluster to apo NFU1, promoting the assembly of a [4Fe-4S] cluster [8]</w:t>
      </w:r>
      <w:r w:rsidR="00ED0544">
        <w:rPr>
          <w:rFonts w:ascii="Arial" w:eastAsia="Times New Roman" w:hAnsi="Arial" w:cs="Arial"/>
          <w:color w:val="222222"/>
          <w:sz w:val="22"/>
          <w:szCs w:val="22"/>
          <w:lang w:val="en-US" w:eastAsia="it-IT"/>
        </w:rPr>
        <w:t xml:space="preserve">, </w:t>
      </w:r>
      <w:r w:rsidR="00ED0544" w:rsidRPr="00ED0544">
        <w:rPr>
          <w:rFonts w:ascii="Arial" w:eastAsia="Times New Roman" w:hAnsi="Arial" w:cs="Arial"/>
          <w:color w:val="222222"/>
          <w:sz w:val="22"/>
          <w:szCs w:val="22"/>
          <w:lang w:eastAsia="it-IT"/>
        </w:rPr>
        <w:t>which is required for the maturation of key mitochondrial proteins</w:t>
      </w:r>
      <w:r w:rsidRPr="00337778">
        <w:rPr>
          <w:rFonts w:ascii="Arial" w:eastAsia="Times New Roman" w:hAnsi="Arial" w:cs="Arial"/>
          <w:color w:val="222222"/>
          <w:sz w:val="22"/>
          <w:szCs w:val="22"/>
          <w:lang w:val="en-US" w:eastAsia="it-IT"/>
        </w:rPr>
        <w:t xml:space="preserve"> [9,10]. </w:t>
      </w:r>
    </w:p>
    <w:p w14:paraId="5D7686ED" w14:textId="07A9CE1F" w:rsidR="00337778" w:rsidRPr="00337778" w:rsidRDefault="00337778" w:rsidP="00337778">
      <w:pPr>
        <w:shd w:val="clear" w:color="auto" w:fill="FFFFFF"/>
        <w:jc w:val="both"/>
        <w:rPr>
          <w:rFonts w:ascii="Arial" w:eastAsia="Times New Roman" w:hAnsi="Arial" w:cs="Arial"/>
          <w:color w:val="222222"/>
          <w:sz w:val="22"/>
          <w:szCs w:val="22"/>
          <w:lang w:val="en-US" w:eastAsia="it-IT"/>
        </w:rPr>
      </w:pPr>
      <w:r w:rsidRPr="00337778">
        <w:rPr>
          <w:rFonts w:ascii="Arial" w:eastAsia="Times New Roman" w:hAnsi="Arial" w:cs="Arial"/>
          <w:color w:val="222222"/>
          <w:sz w:val="22"/>
          <w:szCs w:val="22"/>
          <w:lang w:val="en-US" w:eastAsia="it-IT"/>
        </w:rPr>
        <w:t xml:space="preserve">A compound heterozygous mutation in GLRX5 (p.Cys67Tyr and p.Met128Lys) was identified in a SIDBA3 </w:t>
      </w:r>
      <w:r w:rsidR="005C15FE">
        <w:rPr>
          <w:rFonts w:ascii="Arial" w:eastAsia="Times New Roman" w:hAnsi="Arial" w:cs="Arial"/>
          <w:color w:val="222222"/>
          <w:sz w:val="22"/>
          <w:szCs w:val="22"/>
          <w:lang w:val="en-US" w:eastAsia="it-IT"/>
        </w:rPr>
        <w:t xml:space="preserve">patient </w:t>
      </w:r>
      <w:r w:rsidRPr="00337778">
        <w:rPr>
          <w:rFonts w:ascii="Arial" w:eastAsia="Times New Roman" w:hAnsi="Arial" w:cs="Arial"/>
          <w:color w:val="222222"/>
          <w:sz w:val="22"/>
          <w:szCs w:val="22"/>
          <w:lang w:val="en-US" w:eastAsia="it-IT"/>
        </w:rPr>
        <w:t xml:space="preserve">[3]. While the Cys67Tyr mutation directly disrupts [2Fe-2S] coordination, the molecular impact of Met128Lys remains unclear. In vitro characterization of M128K is therefore essential to determine whether the mutation affects folding, cluster binding, interaction with BOLA3, or cluster transfer to NFU1. </w:t>
      </w:r>
    </w:p>
    <w:p w14:paraId="0047F9E3" w14:textId="2D350F14" w:rsidR="00CD6099" w:rsidRPr="001C2F73" w:rsidRDefault="00337778" w:rsidP="008A18F7">
      <w:pPr>
        <w:shd w:val="clear" w:color="auto" w:fill="FFFFFF"/>
        <w:jc w:val="both"/>
        <w:rPr>
          <w:rFonts w:ascii="Arial" w:eastAsia="Times New Roman" w:hAnsi="Arial" w:cs="Arial"/>
          <w:color w:val="EE0000"/>
          <w:sz w:val="21"/>
          <w:szCs w:val="21"/>
          <w:lang w:val="en-US" w:eastAsia="it-IT"/>
        </w:rPr>
      </w:pPr>
      <w:r w:rsidRPr="00337778">
        <w:rPr>
          <w:rFonts w:ascii="Arial" w:eastAsia="Times New Roman" w:hAnsi="Arial" w:cs="Arial"/>
          <w:color w:val="222222"/>
          <w:sz w:val="22"/>
          <w:szCs w:val="22"/>
          <w:lang w:val="en-US" w:eastAsia="it-IT"/>
        </w:rPr>
        <w:t xml:space="preserve">By combining structural and functional analyses, this study aims to provide a molecular explanation for the patient phenotype, bridging existing clinical observations with mechanistic insights at the molecular level. </w:t>
      </w:r>
    </w:p>
    <w:p w14:paraId="702BB0B2" w14:textId="77777777" w:rsidR="001C2F73" w:rsidRDefault="001C2F73" w:rsidP="001C2F73">
      <w:pPr>
        <w:shd w:val="clear" w:color="auto" w:fill="FFFFFF"/>
        <w:jc w:val="both"/>
        <w:rPr>
          <w:rFonts w:ascii="Arial" w:eastAsia="Times New Roman" w:hAnsi="Arial" w:cs="Arial"/>
          <w:color w:val="222222"/>
          <w:sz w:val="21"/>
          <w:szCs w:val="21"/>
          <w:lang w:val="en-US" w:eastAsia="it-IT"/>
        </w:rPr>
      </w:pPr>
    </w:p>
    <w:p w14:paraId="3FF95C13" w14:textId="77777777" w:rsidR="00752F5C" w:rsidRPr="001C2F73" w:rsidRDefault="00752F5C" w:rsidP="001C2F73">
      <w:pPr>
        <w:shd w:val="clear" w:color="auto" w:fill="FFFFFF"/>
        <w:jc w:val="both"/>
        <w:rPr>
          <w:rFonts w:ascii="Arial" w:eastAsia="Times New Roman" w:hAnsi="Arial" w:cs="Arial"/>
          <w:color w:val="222222"/>
          <w:sz w:val="21"/>
          <w:szCs w:val="21"/>
          <w:lang w:val="en-US" w:eastAsia="it-IT"/>
        </w:rPr>
      </w:pPr>
    </w:p>
    <w:p w14:paraId="5726960C" w14:textId="77777777" w:rsidR="001C2F73" w:rsidRDefault="001C2F73" w:rsidP="001C2F73">
      <w:pPr>
        <w:shd w:val="clear" w:color="auto" w:fill="FFFFFF"/>
        <w:jc w:val="both"/>
        <w:rPr>
          <w:rFonts w:ascii="Arial" w:eastAsia="Times New Roman" w:hAnsi="Arial" w:cs="Arial"/>
          <w:color w:val="222222"/>
          <w:sz w:val="18"/>
          <w:szCs w:val="18"/>
          <w:lang w:val="en-US" w:eastAsia="it-IT"/>
        </w:rPr>
      </w:pPr>
      <w:r w:rsidRPr="001C2F73">
        <w:rPr>
          <w:rFonts w:ascii="Arial" w:eastAsia="Times New Roman" w:hAnsi="Arial" w:cs="Arial"/>
          <w:b/>
          <w:bCs/>
          <w:color w:val="222222"/>
          <w:sz w:val="18"/>
          <w:szCs w:val="18"/>
          <w:lang w:val="en-US" w:eastAsia="it-IT"/>
        </w:rPr>
        <w:t>References</w:t>
      </w:r>
      <w:r w:rsidRPr="001C2F73">
        <w:rPr>
          <w:rFonts w:ascii="Arial" w:eastAsia="Times New Roman" w:hAnsi="Arial" w:cs="Arial"/>
          <w:color w:val="222222"/>
          <w:sz w:val="18"/>
          <w:szCs w:val="18"/>
          <w:lang w:val="en-US" w:eastAsia="it-IT"/>
        </w:rPr>
        <w:t xml:space="preserve"> </w:t>
      </w:r>
    </w:p>
    <w:p w14:paraId="53A9C273" w14:textId="77777777" w:rsidR="00EA6977" w:rsidRPr="00595194"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[1] D.J.A. Netz, J. Mascarenhas, O. Stehling, A.J. Pierik, R. Lill, </w:t>
      </w:r>
      <w:r w:rsidRPr="00C35983">
        <w:rPr>
          <w:rFonts w:ascii="Arial" w:eastAsia="Times New Roman" w:hAnsi="Arial" w:cs="Arial"/>
          <w:i/>
          <w:iCs/>
          <w:color w:val="222222"/>
          <w:sz w:val="18"/>
          <w:szCs w:val="18"/>
          <w:lang w:val="en-US" w:eastAsia="it-IT"/>
        </w:rPr>
        <w:t>Trends Cell Biol.</w:t>
      </w:r>
      <w:r w:rsidRPr="00595194">
        <w:rPr>
          <w:rFonts w:ascii="Arial" w:eastAsia="Times New Roman" w:hAnsi="Arial" w:cs="Arial"/>
          <w:color w:val="222222"/>
          <w:sz w:val="18"/>
          <w:szCs w:val="18"/>
          <w:lang w:val="en-US" w:eastAsia="it-IT"/>
        </w:rPr>
        <w:t xml:space="preserve">, </w:t>
      </w:r>
      <w:r w:rsidRPr="00C22FB8">
        <w:rPr>
          <w:rFonts w:ascii="Arial" w:eastAsia="Times New Roman" w:hAnsi="Arial" w:cs="Arial"/>
          <w:b/>
          <w:bCs/>
          <w:color w:val="222222"/>
          <w:sz w:val="18"/>
          <w:szCs w:val="18"/>
          <w:lang w:val="en-US" w:eastAsia="it-IT"/>
        </w:rPr>
        <w:t>24</w:t>
      </w:r>
      <w:r w:rsidRPr="00595194">
        <w:rPr>
          <w:rFonts w:ascii="Arial" w:eastAsia="Times New Roman" w:hAnsi="Arial" w:cs="Arial"/>
          <w:color w:val="222222"/>
          <w:sz w:val="18"/>
          <w:szCs w:val="18"/>
          <w:lang w:val="en-US" w:eastAsia="it-IT"/>
        </w:rPr>
        <w:t xml:space="preserve"> (2014) 303</w:t>
      </w:r>
      <w:r>
        <w:rPr>
          <w:rFonts w:ascii="Arial" w:eastAsia="Times New Roman" w:hAnsi="Arial" w:cs="Arial"/>
          <w:color w:val="222222"/>
          <w:sz w:val="18"/>
          <w:szCs w:val="18"/>
          <w:lang w:val="en-US" w:eastAsia="it-IT"/>
        </w:rPr>
        <w:t>-</w:t>
      </w:r>
      <w:r w:rsidRPr="00595194">
        <w:rPr>
          <w:rFonts w:ascii="Arial" w:eastAsia="Times New Roman" w:hAnsi="Arial" w:cs="Arial"/>
          <w:color w:val="222222"/>
          <w:sz w:val="18"/>
          <w:szCs w:val="18"/>
          <w:lang w:val="en-US" w:eastAsia="it-IT"/>
        </w:rPr>
        <w:t>312.</w:t>
      </w:r>
    </w:p>
    <w:p w14:paraId="3295AA38" w14:textId="77777777" w:rsidR="00EA6977" w:rsidRPr="00595194"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[2] C. Camaschella, </w:t>
      </w:r>
      <w:r w:rsidRPr="00C35983">
        <w:rPr>
          <w:rFonts w:ascii="Arial" w:eastAsia="Times New Roman" w:hAnsi="Arial" w:cs="Arial"/>
          <w:i/>
          <w:iCs/>
          <w:color w:val="222222"/>
          <w:sz w:val="18"/>
          <w:szCs w:val="18"/>
          <w:lang w:val="en-US" w:eastAsia="it-IT"/>
        </w:rPr>
        <w:t>Br. J. Haematol.</w:t>
      </w:r>
      <w:r w:rsidRPr="00595194">
        <w:rPr>
          <w:rFonts w:ascii="Arial" w:eastAsia="Times New Roman" w:hAnsi="Arial" w:cs="Arial"/>
          <w:color w:val="222222"/>
          <w:sz w:val="18"/>
          <w:szCs w:val="18"/>
          <w:lang w:val="en-US" w:eastAsia="it-IT"/>
        </w:rPr>
        <w:t xml:space="preserve">, </w:t>
      </w:r>
      <w:r w:rsidRPr="00C22FB8">
        <w:rPr>
          <w:rFonts w:ascii="Arial" w:eastAsia="Times New Roman" w:hAnsi="Arial" w:cs="Arial"/>
          <w:b/>
          <w:bCs/>
          <w:color w:val="222222"/>
          <w:sz w:val="18"/>
          <w:szCs w:val="18"/>
          <w:lang w:val="en-US" w:eastAsia="it-IT"/>
        </w:rPr>
        <w:t>143</w:t>
      </w:r>
      <w:r w:rsidRPr="00595194">
        <w:rPr>
          <w:rFonts w:ascii="Arial" w:eastAsia="Times New Roman" w:hAnsi="Arial" w:cs="Arial"/>
          <w:color w:val="222222"/>
          <w:sz w:val="18"/>
          <w:szCs w:val="18"/>
          <w:lang w:val="en-US" w:eastAsia="it-IT"/>
        </w:rPr>
        <w:t xml:space="preserve"> (2008) 27</w:t>
      </w:r>
      <w:r>
        <w:rPr>
          <w:rFonts w:ascii="Arial" w:eastAsia="Times New Roman" w:hAnsi="Arial" w:cs="Arial"/>
          <w:color w:val="222222"/>
          <w:sz w:val="18"/>
          <w:szCs w:val="18"/>
          <w:lang w:val="en-US" w:eastAsia="it-IT"/>
        </w:rPr>
        <w:t>-</w:t>
      </w:r>
      <w:r w:rsidRPr="00595194">
        <w:rPr>
          <w:rFonts w:ascii="Arial" w:eastAsia="Times New Roman" w:hAnsi="Arial" w:cs="Arial"/>
          <w:color w:val="222222"/>
          <w:sz w:val="18"/>
          <w:szCs w:val="18"/>
          <w:lang w:val="en-US" w:eastAsia="it-IT"/>
        </w:rPr>
        <w:t>38.</w:t>
      </w:r>
    </w:p>
    <w:p w14:paraId="32AFE429" w14:textId="77777777" w:rsidR="00EA6977" w:rsidRPr="00595194"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[3] R. Daher, A. Mansouri, A. Martelli, S. Bayart, H. Manceau, I. Callebaut, B. Moulouel, L. Gouya, H. Puy, C. Kannengiesser, Z. Karim, </w:t>
      </w:r>
      <w:r w:rsidRPr="00C35983">
        <w:rPr>
          <w:rFonts w:ascii="Arial" w:eastAsia="Times New Roman" w:hAnsi="Arial" w:cs="Arial"/>
          <w:i/>
          <w:iCs/>
          <w:color w:val="222222"/>
          <w:sz w:val="18"/>
          <w:szCs w:val="18"/>
          <w:lang w:val="en-US" w:eastAsia="it-IT"/>
        </w:rPr>
        <w:t>Mol. Genet. Metab.</w:t>
      </w:r>
      <w:r w:rsidRPr="00595194">
        <w:rPr>
          <w:rFonts w:ascii="Arial" w:eastAsia="Times New Roman" w:hAnsi="Arial" w:cs="Arial"/>
          <w:color w:val="222222"/>
          <w:sz w:val="18"/>
          <w:szCs w:val="18"/>
          <w:lang w:val="en-US" w:eastAsia="it-IT"/>
        </w:rPr>
        <w:t xml:space="preserve">, </w:t>
      </w:r>
      <w:r w:rsidRPr="00C35983">
        <w:rPr>
          <w:rFonts w:ascii="Arial" w:eastAsia="Times New Roman" w:hAnsi="Arial" w:cs="Arial"/>
          <w:b/>
          <w:bCs/>
          <w:color w:val="222222"/>
          <w:sz w:val="18"/>
          <w:szCs w:val="18"/>
          <w:lang w:val="en-US" w:eastAsia="it-IT"/>
        </w:rPr>
        <w:t>128</w:t>
      </w:r>
      <w:r w:rsidRPr="00595194">
        <w:rPr>
          <w:rFonts w:ascii="Arial" w:eastAsia="Times New Roman" w:hAnsi="Arial" w:cs="Arial"/>
          <w:color w:val="222222"/>
          <w:sz w:val="18"/>
          <w:szCs w:val="18"/>
          <w:lang w:val="en-US" w:eastAsia="it-IT"/>
        </w:rPr>
        <w:t xml:space="preserve"> (2019) 342</w:t>
      </w:r>
      <w:r>
        <w:rPr>
          <w:rFonts w:ascii="Arial" w:eastAsia="Times New Roman" w:hAnsi="Arial" w:cs="Arial"/>
          <w:color w:val="222222"/>
          <w:sz w:val="18"/>
          <w:szCs w:val="18"/>
          <w:lang w:val="en-US" w:eastAsia="it-IT"/>
        </w:rPr>
        <w:t>-</w:t>
      </w:r>
      <w:r w:rsidRPr="00595194">
        <w:rPr>
          <w:rFonts w:ascii="Arial" w:eastAsia="Times New Roman" w:hAnsi="Arial" w:cs="Arial"/>
          <w:color w:val="222222"/>
          <w:sz w:val="18"/>
          <w:szCs w:val="18"/>
          <w:lang w:val="en-US" w:eastAsia="it-IT"/>
        </w:rPr>
        <w:t>351.</w:t>
      </w:r>
    </w:p>
    <w:p w14:paraId="20D0CD1E" w14:textId="77777777" w:rsidR="00EA6977" w:rsidRPr="00595194"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[4] G. Liu, S. Guo, G.J. Anderson, C. Camaschella, B. Han, G. Nie, </w:t>
      </w:r>
      <w:r w:rsidRPr="00432944">
        <w:rPr>
          <w:rFonts w:ascii="Arial" w:eastAsia="Times New Roman" w:hAnsi="Arial" w:cs="Arial"/>
          <w:i/>
          <w:iCs/>
          <w:color w:val="222222"/>
          <w:sz w:val="18"/>
          <w:szCs w:val="18"/>
          <w:lang w:val="en-US" w:eastAsia="it-IT"/>
        </w:rPr>
        <w:t>Blood</w:t>
      </w:r>
      <w:r w:rsidRPr="00595194">
        <w:rPr>
          <w:rFonts w:ascii="Arial" w:eastAsia="Times New Roman" w:hAnsi="Arial" w:cs="Arial"/>
          <w:color w:val="222222"/>
          <w:sz w:val="18"/>
          <w:szCs w:val="18"/>
          <w:lang w:val="en-US" w:eastAsia="it-IT"/>
        </w:rPr>
        <w:t xml:space="preserve">, </w:t>
      </w:r>
      <w:r w:rsidRPr="00432944">
        <w:rPr>
          <w:rFonts w:ascii="Arial" w:eastAsia="Times New Roman" w:hAnsi="Arial" w:cs="Arial"/>
          <w:b/>
          <w:bCs/>
          <w:color w:val="222222"/>
          <w:sz w:val="18"/>
          <w:szCs w:val="18"/>
          <w:lang w:val="en-US" w:eastAsia="it-IT"/>
        </w:rPr>
        <w:t>124</w:t>
      </w:r>
      <w:r w:rsidRPr="00595194">
        <w:rPr>
          <w:rFonts w:ascii="Arial" w:eastAsia="Times New Roman" w:hAnsi="Arial" w:cs="Arial"/>
          <w:color w:val="222222"/>
          <w:sz w:val="18"/>
          <w:szCs w:val="18"/>
          <w:lang w:val="en-US" w:eastAsia="it-IT"/>
        </w:rPr>
        <w:t xml:space="preserve"> (2014) 2750</w:t>
      </w:r>
      <w:r>
        <w:rPr>
          <w:rFonts w:ascii="Arial" w:eastAsia="Times New Roman" w:hAnsi="Arial" w:cs="Arial"/>
          <w:color w:val="222222"/>
          <w:sz w:val="18"/>
          <w:szCs w:val="18"/>
          <w:lang w:val="en-US" w:eastAsia="it-IT"/>
        </w:rPr>
        <w:t>-</w:t>
      </w:r>
      <w:r w:rsidRPr="00595194">
        <w:rPr>
          <w:rFonts w:ascii="Arial" w:eastAsia="Times New Roman" w:hAnsi="Arial" w:cs="Arial"/>
          <w:color w:val="222222"/>
          <w:sz w:val="18"/>
          <w:szCs w:val="18"/>
          <w:lang w:val="en-US" w:eastAsia="it-IT"/>
        </w:rPr>
        <w:t>2751.</w:t>
      </w:r>
    </w:p>
    <w:p w14:paraId="0559B1AC" w14:textId="77777777" w:rsidR="00EA6977" w:rsidRPr="00595194"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[5] T.A. Rouault, </w:t>
      </w:r>
      <w:r w:rsidRPr="00B43C83">
        <w:rPr>
          <w:rFonts w:ascii="Arial" w:eastAsia="Times New Roman" w:hAnsi="Arial" w:cs="Arial"/>
          <w:i/>
          <w:iCs/>
          <w:color w:val="222222"/>
          <w:sz w:val="18"/>
          <w:szCs w:val="18"/>
          <w:lang w:val="en-US" w:eastAsia="it-IT"/>
        </w:rPr>
        <w:t>Nat. Rev. Mol. Cell Biol.</w:t>
      </w:r>
      <w:r w:rsidRPr="00595194">
        <w:rPr>
          <w:rFonts w:ascii="Arial" w:eastAsia="Times New Roman" w:hAnsi="Arial" w:cs="Arial"/>
          <w:color w:val="222222"/>
          <w:sz w:val="18"/>
          <w:szCs w:val="18"/>
          <w:lang w:val="en-US" w:eastAsia="it-IT"/>
        </w:rPr>
        <w:t xml:space="preserve">, </w:t>
      </w:r>
      <w:r w:rsidRPr="00B43C83">
        <w:rPr>
          <w:rFonts w:ascii="Arial" w:eastAsia="Times New Roman" w:hAnsi="Arial" w:cs="Arial"/>
          <w:b/>
          <w:bCs/>
          <w:color w:val="222222"/>
          <w:sz w:val="18"/>
          <w:szCs w:val="18"/>
          <w:lang w:val="en-US" w:eastAsia="it-IT"/>
        </w:rPr>
        <w:t>16</w:t>
      </w:r>
      <w:r w:rsidRPr="00595194">
        <w:rPr>
          <w:rFonts w:ascii="Arial" w:eastAsia="Times New Roman" w:hAnsi="Arial" w:cs="Arial"/>
          <w:color w:val="222222"/>
          <w:sz w:val="18"/>
          <w:szCs w:val="18"/>
          <w:lang w:val="en-US" w:eastAsia="it-IT"/>
        </w:rPr>
        <w:t xml:space="preserve"> (2015) 45</w:t>
      </w:r>
      <w:r>
        <w:rPr>
          <w:rFonts w:ascii="Arial" w:eastAsia="Times New Roman" w:hAnsi="Arial" w:cs="Arial"/>
          <w:color w:val="222222"/>
          <w:sz w:val="18"/>
          <w:szCs w:val="18"/>
          <w:lang w:val="en-US" w:eastAsia="it-IT"/>
        </w:rPr>
        <w:t>-</w:t>
      </w:r>
      <w:r w:rsidRPr="00595194">
        <w:rPr>
          <w:rFonts w:ascii="Arial" w:eastAsia="Times New Roman" w:hAnsi="Arial" w:cs="Arial"/>
          <w:color w:val="222222"/>
          <w:sz w:val="18"/>
          <w:szCs w:val="18"/>
          <w:lang w:val="en-US" w:eastAsia="it-IT"/>
        </w:rPr>
        <w:t>55.</w:t>
      </w:r>
    </w:p>
    <w:p w14:paraId="5D01C8AF" w14:textId="77777777" w:rsidR="00EA6977" w:rsidRPr="00595194"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[6] M.A. Uzarska, V. Nasta, B.D. Weiler, F. Spantgar, S. Ciofi Baffoni, M.R. Saviello, L. Gonnelli, U. Mühlenhoff, L. Banci, R. Lill, </w:t>
      </w:r>
      <w:r w:rsidRPr="00B93DEB">
        <w:rPr>
          <w:rFonts w:ascii="Arial" w:eastAsia="Times New Roman" w:hAnsi="Arial" w:cs="Arial"/>
          <w:i/>
          <w:iCs/>
          <w:color w:val="222222"/>
          <w:sz w:val="18"/>
          <w:szCs w:val="18"/>
          <w:lang w:val="en-US" w:eastAsia="it-IT"/>
        </w:rPr>
        <w:t>eLife</w:t>
      </w:r>
      <w:r w:rsidRPr="00595194">
        <w:rPr>
          <w:rFonts w:ascii="Arial" w:eastAsia="Times New Roman" w:hAnsi="Arial" w:cs="Arial"/>
          <w:color w:val="222222"/>
          <w:sz w:val="18"/>
          <w:szCs w:val="18"/>
          <w:lang w:val="en-US" w:eastAsia="it-IT"/>
        </w:rPr>
        <w:t xml:space="preserve">, </w:t>
      </w:r>
      <w:r w:rsidRPr="00B93DEB">
        <w:rPr>
          <w:rFonts w:ascii="Arial" w:eastAsia="Times New Roman" w:hAnsi="Arial" w:cs="Arial"/>
          <w:b/>
          <w:bCs/>
          <w:color w:val="222222"/>
          <w:sz w:val="18"/>
          <w:szCs w:val="18"/>
          <w:lang w:val="en-US" w:eastAsia="it-IT"/>
        </w:rPr>
        <w:t>5</w:t>
      </w:r>
      <w:r w:rsidRPr="00595194">
        <w:rPr>
          <w:rFonts w:ascii="Arial" w:eastAsia="Times New Roman" w:hAnsi="Arial" w:cs="Arial"/>
          <w:color w:val="222222"/>
          <w:sz w:val="18"/>
          <w:szCs w:val="18"/>
          <w:lang w:val="en-US" w:eastAsia="it-IT"/>
        </w:rPr>
        <w:t xml:space="preserve"> (2016) e16673.</w:t>
      </w:r>
    </w:p>
    <w:p w14:paraId="287CBA11" w14:textId="77777777" w:rsidR="00EA6977" w:rsidRPr="00595194"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[7] V. Nasta, A. Giachetti, S. Ciofi Baffoni, L. Banci, </w:t>
      </w:r>
      <w:r w:rsidRPr="003A255C">
        <w:rPr>
          <w:rFonts w:ascii="Arial" w:eastAsia="Times New Roman" w:hAnsi="Arial" w:cs="Arial"/>
          <w:i/>
          <w:iCs/>
          <w:color w:val="222222"/>
          <w:sz w:val="18"/>
          <w:szCs w:val="18"/>
          <w:lang w:val="en-US" w:eastAsia="it-IT"/>
        </w:rPr>
        <w:t>Biochim. Biophys. Acta</w:t>
      </w:r>
      <w:r w:rsidRPr="00595194">
        <w:rPr>
          <w:rFonts w:ascii="Arial" w:eastAsia="Times New Roman" w:hAnsi="Arial" w:cs="Arial"/>
          <w:color w:val="222222"/>
          <w:sz w:val="18"/>
          <w:szCs w:val="18"/>
          <w:lang w:val="en-US" w:eastAsia="it-IT"/>
        </w:rPr>
        <w:t xml:space="preserve">, </w:t>
      </w:r>
      <w:r w:rsidRPr="003A255C">
        <w:rPr>
          <w:rFonts w:ascii="Arial" w:eastAsia="Times New Roman" w:hAnsi="Arial" w:cs="Arial"/>
          <w:b/>
          <w:bCs/>
          <w:color w:val="222222"/>
          <w:sz w:val="18"/>
          <w:szCs w:val="18"/>
          <w:lang w:val="en-US" w:eastAsia="it-IT"/>
        </w:rPr>
        <w:t>1861</w:t>
      </w:r>
      <w:r w:rsidRPr="00595194">
        <w:rPr>
          <w:rFonts w:ascii="Arial" w:eastAsia="Times New Roman" w:hAnsi="Arial" w:cs="Arial"/>
          <w:color w:val="222222"/>
          <w:sz w:val="18"/>
          <w:szCs w:val="18"/>
          <w:lang w:val="en-US" w:eastAsia="it-IT"/>
        </w:rPr>
        <w:t xml:space="preserve"> (2017) 2119</w:t>
      </w:r>
      <w:r>
        <w:rPr>
          <w:rFonts w:ascii="Arial" w:eastAsia="Times New Roman" w:hAnsi="Arial" w:cs="Arial"/>
          <w:color w:val="222222"/>
          <w:sz w:val="18"/>
          <w:szCs w:val="18"/>
          <w:lang w:val="en-US" w:eastAsia="it-IT"/>
        </w:rPr>
        <w:t>-</w:t>
      </w:r>
      <w:r w:rsidRPr="00595194">
        <w:rPr>
          <w:rFonts w:ascii="Arial" w:eastAsia="Times New Roman" w:hAnsi="Arial" w:cs="Arial"/>
          <w:color w:val="222222"/>
          <w:sz w:val="18"/>
          <w:szCs w:val="18"/>
          <w:lang w:val="en-US" w:eastAsia="it-IT"/>
        </w:rPr>
        <w:t>2131.</w:t>
      </w:r>
    </w:p>
    <w:p w14:paraId="53FAE582" w14:textId="77777777" w:rsidR="00EA6977" w:rsidRPr="00595194"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[8] V. Nasta, D. Suraci, S. Gourdoupis, S. Ciofi Baffoni, L. Banci, </w:t>
      </w:r>
      <w:r w:rsidRPr="00EA36B8">
        <w:rPr>
          <w:rFonts w:ascii="Arial" w:eastAsia="Times New Roman" w:hAnsi="Arial" w:cs="Arial"/>
          <w:i/>
          <w:iCs/>
          <w:color w:val="222222"/>
          <w:sz w:val="18"/>
          <w:szCs w:val="18"/>
          <w:lang w:val="en-US" w:eastAsia="it-IT"/>
        </w:rPr>
        <w:t>FEBS J.</w:t>
      </w:r>
      <w:r w:rsidRPr="00595194">
        <w:rPr>
          <w:rFonts w:ascii="Arial" w:eastAsia="Times New Roman" w:hAnsi="Arial" w:cs="Arial"/>
          <w:color w:val="222222"/>
          <w:sz w:val="18"/>
          <w:szCs w:val="18"/>
          <w:lang w:val="en-US" w:eastAsia="it-IT"/>
        </w:rPr>
        <w:t xml:space="preserve">, </w:t>
      </w:r>
      <w:r w:rsidRPr="00261099">
        <w:rPr>
          <w:rFonts w:ascii="Arial" w:eastAsia="Times New Roman" w:hAnsi="Arial" w:cs="Arial"/>
          <w:b/>
          <w:bCs/>
          <w:color w:val="222222"/>
          <w:sz w:val="18"/>
          <w:szCs w:val="18"/>
          <w:lang w:val="en-US" w:eastAsia="it-IT"/>
        </w:rPr>
        <w:t>287</w:t>
      </w:r>
      <w:r w:rsidRPr="00595194">
        <w:rPr>
          <w:rFonts w:ascii="Arial" w:eastAsia="Times New Roman" w:hAnsi="Arial" w:cs="Arial"/>
          <w:color w:val="222222"/>
          <w:sz w:val="18"/>
          <w:szCs w:val="18"/>
          <w:lang w:val="en-US" w:eastAsia="it-IT"/>
        </w:rPr>
        <w:t xml:space="preserve"> (2020) 2312</w:t>
      </w:r>
      <w:r>
        <w:rPr>
          <w:rFonts w:ascii="Arial" w:eastAsia="Times New Roman" w:hAnsi="Arial" w:cs="Arial"/>
          <w:color w:val="222222"/>
          <w:sz w:val="18"/>
          <w:szCs w:val="18"/>
          <w:lang w:val="en-US" w:eastAsia="it-IT"/>
        </w:rPr>
        <w:t>-</w:t>
      </w:r>
      <w:r w:rsidRPr="00595194">
        <w:rPr>
          <w:rFonts w:ascii="Arial" w:eastAsia="Times New Roman" w:hAnsi="Arial" w:cs="Arial"/>
          <w:color w:val="222222"/>
          <w:sz w:val="18"/>
          <w:szCs w:val="18"/>
          <w:lang w:val="en-US" w:eastAsia="it-IT"/>
        </w:rPr>
        <w:t>2327.</w:t>
      </w:r>
    </w:p>
    <w:p w14:paraId="5B438311" w14:textId="77777777" w:rsidR="00EA6977" w:rsidRPr="00595194"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[9] J.M. Cameron, A. Janer, V. Levandovskiy, N. Mackay, T.A. Rouault, W.H. Tong, I. Ogilvie, E.A. Shoubridge, B.H. Robinson, </w:t>
      </w:r>
      <w:r w:rsidRPr="00261099">
        <w:rPr>
          <w:rFonts w:ascii="Arial" w:eastAsia="Times New Roman" w:hAnsi="Arial" w:cs="Arial"/>
          <w:i/>
          <w:iCs/>
          <w:color w:val="222222"/>
          <w:sz w:val="18"/>
          <w:szCs w:val="18"/>
          <w:lang w:val="en-US" w:eastAsia="it-IT"/>
        </w:rPr>
        <w:t>Am. J. Hum. Genet.</w:t>
      </w:r>
      <w:r w:rsidRPr="00595194">
        <w:rPr>
          <w:rFonts w:ascii="Arial" w:eastAsia="Times New Roman" w:hAnsi="Arial" w:cs="Arial"/>
          <w:color w:val="222222"/>
          <w:sz w:val="18"/>
          <w:szCs w:val="18"/>
          <w:lang w:val="en-US" w:eastAsia="it-IT"/>
        </w:rPr>
        <w:t xml:space="preserve">, </w:t>
      </w:r>
      <w:r w:rsidRPr="00261099">
        <w:rPr>
          <w:rFonts w:ascii="Arial" w:eastAsia="Times New Roman" w:hAnsi="Arial" w:cs="Arial"/>
          <w:b/>
          <w:bCs/>
          <w:color w:val="222222"/>
          <w:sz w:val="18"/>
          <w:szCs w:val="18"/>
          <w:lang w:val="en-US" w:eastAsia="it-IT"/>
        </w:rPr>
        <w:t>89</w:t>
      </w:r>
      <w:r w:rsidRPr="00595194">
        <w:rPr>
          <w:rFonts w:ascii="Arial" w:eastAsia="Times New Roman" w:hAnsi="Arial" w:cs="Arial"/>
          <w:color w:val="222222"/>
          <w:sz w:val="18"/>
          <w:szCs w:val="18"/>
          <w:lang w:val="en-US" w:eastAsia="it-IT"/>
        </w:rPr>
        <w:t xml:space="preserve"> (2011) 486</w:t>
      </w:r>
      <w:r>
        <w:rPr>
          <w:rFonts w:ascii="Arial" w:eastAsia="Times New Roman" w:hAnsi="Arial" w:cs="Arial"/>
          <w:color w:val="222222"/>
          <w:sz w:val="18"/>
          <w:szCs w:val="18"/>
          <w:lang w:val="en-US" w:eastAsia="it-IT"/>
        </w:rPr>
        <w:t>-</w:t>
      </w:r>
      <w:r w:rsidRPr="00595194">
        <w:rPr>
          <w:rFonts w:ascii="Arial" w:eastAsia="Times New Roman" w:hAnsi="Arial" w:cs="Arial"/>
          <w:color w:val="222222"/>
          <w:sz w:val="18"/>
          <w:szCs w:val="18"/>
          <w:lang w:val="en-US" w:eastAsia="it-IT"/>
        </w:rPr>
        <w:t>495.</w:t>
      </w:r>
    </w:p>
    <w:p w14:paraId="00C78C1A" w14:textId="7DBE3EB6" w:rsidR="00337778" w:rsidRPr="001C2F73" w:rsidRDefault="00EA6977" w:rsidP="00EA6977">
      <w:pPr>
        <w:shd w:val="clear" w:color="auto" w:fill="FFFFFF"/>
        <w:ind w:left="374" w:hanging="374"/>
        <w:jc w:val="both"/>
        <w:rPr>
          <w:rFonts w:ascii="Arial" w:eastAsia="Times New Roman" w:hAnsi="Arial" w:cs="Arial"/>
          <w:color w:val="222222"/>
          <w:sz w:val="18"/>
          <w:szCs w:val="18"/>
          <w:lang w:val="en-US" w:eastAsia="it-IT"/>
        </w:rPr>
      </w:pPr>
      <w:r w:rsidRPr="00595194">
        <w:rPr>
          <w:rFonts w:ascii="Arial" w:eastAsia="Times New Roman" w:hAnsi="Arial" w:cs="Arial"/>
          <w:color w:val="222222"/>
          <w:sz w:val="18"/>
          <w:szCs w:val="18"/>
          <w:lang w:val="en-US" w:eastAsia="it-IT"/>
        </w:rPr>
        <w:t xml:space="preserve">[10] A. Navarro-Sastre, F. Tort, O. Stehling, M.A. Uzarska, J.A. Arranz, M. Del Toro, M.T. Labayru, J. Landa, A. Font, J. Garcia-Villoria, B. Merinero, M. Ugarte, L.G. Gutierrez-Solana, J. Campistol, A. Garcia-Cazorla, J. Vaquerizo, E. Riudor, P. Briones, O. Elpeleg, A. Ribes, R. Lill, </w:t>
      </w:r>
      <w:r w:rsidRPr="00FE7B83">
        <w:rPr>
          <w:rFonts w:ascii="Arial" w:eastAsia="Times New Roman" w:hAnsi="Arial" w:cs="Arial"/>
          <w:i/>
          <w:iCs/>
          <w:color w:val="222222"/>
          <w:sz w:val="18"/>
          <w:szCs w:val="18"/>
          <w:lang w:val="en-US" w:eastAsia="it-IT"/>
        </w:rPr>
        <w:t>Am. J. Hum. Genet.</w:t>
      </w:r>
      <w:r w:rsidRPr="00595194">
        <w:rPr>
          <w:rFonts w:ascii="Arial" w:eastAsia="Times New Roman" w:hAnsi="Arial" w:cs="Arial"/>
          <w:color w:val="222222"/>
          <w:sz w:val="18"/>
          <w:szCs w:val="18"/>
          <w:lang w:val="en-US" w:eastAsia="it-IT"/>
        </w:rPr>
        <w:t xml:space="preserve">, </w:t>
      </w:r>
      <w:r w:rsidRPr="00FE7B83">
        <w:rPr>
          <w:rFonts w:ascii="Arial" w:eastAsia="Times New Roman" w:hAnsi="Arial" w:cs="Arial"/>
          <w:b/>
          <w:bCs/>
          <w:color w:val="222222"/>
          <w:sz w:val="18"/>
          <w:szCs w:val="18"/>
          <w:lang w:val="en-US" w:eastAsia="it-IT"/>
        </w:rPr>
        <w:t>89</w:t>
      </w:r>
      <w:r w:rsidRPr="00595194">
        <w:rPr>
          <w:rFonts w:ascii="Arial" w:eastAsia="Times New Roman" w:hAnsi="Arial" w:cs="Arial"/>
          <w:color w:val="222222"/>
          <w:sz w:val="18"/>
          <w:szCs w:val="18"/>
          <w:lang w:val="en-US" w:eastAsia="it-IT"/>
        </w:rPr>
        <w:t xml:space="preserve"> (2011) 656</w:t>
      </w:r>
      <w:r w:rsidR="00416D3B">
        <w:rPr>
          <w:rFonts w:ascii="Arial" w:eastAsia="Times New Roman" w:hAnsi="Arial" w:cs="Arial"/>
          <w:color w:val="222222"/>
          <w:sz w:val="18"/>
          <w:szCs w:val="18"/>
          <w:lang w:val="en-US" w:eastAsia="it-IT"/>
        </w:rPr>
        <w:t>-</w:t>
      </w:r>
      <w:r w:rsidRPr="00595194">
        <w:rPr>
          <w:rFonts w:ascii="Arial" w:eastAsia="Times New Roman" w:hAnsi="Arial" w:cs="Arial"/>
          <w:color w:val="222222"/>
          <w:sz w:val="18"/>
          <w:szCs w:val="18"/>
          <w:lang w:val="en-US" w:eastAsia="it-IT"/>
        </w:rPr>
        <w:t>667.</w:t>
      </w:r>
    </w:p>
    <w:sectPr w:rsidR="00337778" w:rsidRPr="001C2F73" w:rsidSect="00497EC8">
      <w:head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730ED" w14:textId="77777777" w:rsidR="0098777C" w:rsidRDefault="0098777C" w:rsidP="001C2F73">
      <w:r>
        <w:separator/>
      </w:r>
    </w:p>
  </w:endnote>
  <w:endnote w:type="continuationSeparator" w:id="0">
    <w:p w14:paraId="428ADC3E" w14:textId="77777777" w:rsidR="0098777C" w:rsidRDefault="0098777C" w:rsidP="001C2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4166D" w14:textId="77777777" w:rsidR="0098777C" w:rsidRDefault="0098777C" w:rsidP="001C2F73">
      <w:r>
        <w:separator/>
      </w:r>
    </w:p>
  </w:footnote>
  <w:footnote w:type="continuationSeparator" w:id="0">
    <w:p w14:paraId="76EFF676" w14:textId="77777777" w:rsidR="0098777C" w:rsidRDefault="0098777C" w:rsidP="001C2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98ACE" w14:textId="77777777" w:rsidR="001C2F73" w:rsidRDefault="001C2F73">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73"/>
    <w:rsid w:val="0000128F"/>
    <w:rsid w:val="00004C5C"/>
    <w:rsid w:val="0000715C"/>
    <w:rsid w:val="00011CA9"/>
    <w:rsid w:val="00021D2C"/>
    <w:rsid w:val="000227CD"/>
    <w:rsid w:val="000238ED"/>
    <w:rsid w:val="000259BA"/>
    <w:rsid w:val="00035B03"/>
    <w:rsid w:val="00042607"/>
    <w:rsid w:val="000429F7"/>
    <w:rsid w:val="00051745"/>
    <w:rsid w:val="0005178B"/>
    <w:rsid w:val="00052E03"/>
    <w:rsid w:val="000543BB"/>
    <w:rsid w:val="00054F37"/>
    <w:rsid w:val="00055B78"/>
    <w:rsid w:val="00055BBB"/>
    <w:rsid w:val="0005720A"/>
    <w:rsid w:val="00057FA7"/>
    <w:rsid w:val="00065E60"/>
    <w:rsid w:val="0007090B"/>
    <w:rsid w:val="00070FA4"/>
    <w:rsid w:val="0007191E"/>
    <w:rsid w:val="00072531"/>
    <w:rsid w:val="00074192"/>
    <w:rsid w:val="00074A06"/>
    <w:rsid w:val="00077DC5"/>
    <w:rsid w:val="0008217D"/>
    <w:rsid w:val="00082867"/>
    <w:rsid w:val="00082D17"/>
    <w:rsid w:val="00084E44"/>
    <w:rsid w:val="0009044E"/>
    <w:rsid w:val="00092764"/>
    <w:rsid w:val="00092A5E"/>
    <w:rsid w:val="000A1BAC"/>
    <w:rsid w:val="000A3E67"/>
    <w:rsid w:val="000A74D7"/>
    <w:rsid w:val="000B0DC3"/>
    <w:rsid w:val="000B2AB0"/>
    <w:rsid w:val="000B54DD"/>
    <w:rsid w:val="000C0B8E"/>
    <w:rsid w:val="000C5AB2"/>
    <w:rsid w:val="000D6DCE"/>
    <w:rsid w:val="000D7FC0"/>
    <w:rsid w:val="000E424D"/>
    <w:rsid w:val="000E61A9"/>
    <w:rsid w:val="000F0C67"/>
    <w:rsid w:val="000F1455"/>
    <w:rsid w:val="000F14BF"/>
    <w:rsid w:val="000F31E8"/>
    <w:rsid w:val="000F3F3E"/>
    <w:rsid w:val="000F54CF"/>
    <w:rsid w:val="000F7FD1"/>
    <w:rsid w:val="001012BB"/>
    <w:rsid w:val="00101B38"/>
    <w:rsid w:val="0010726B"/>
    <w:rsid w:val="00110164"/>
    <w:rsid w:val="0011237E"/>
    <w:rsid w:val="001128B2"/>
    <w:rsid w:val="00116A37"/>
    <w:rsid w:val="001213F3"/>
    <w:rsid w:val="001270B8"/>
    <w:rsid w:val="001315F9"/>
    <w:rsid w:val="0013266B"/>
    <w:rsid w:val="00132794"/>
    <w:rsid w:val="0013372C"/>
    <w:rsid w:val="00134DFF"/>
    <w:rsid w:val="0013685B"/>
    <w:rsid w:val="001430B4"/>
    <w:rsid w:val="00143387"/>
    <w:rsid w:val="00151234"/>
    <w:rsid w:val="00155337"/>
    <w:rsid w:val="00163B31"/>
    <w:rsid w:val="00167B8B"/>
    <w:rsid w:val="00167D36"/>
    <w:rsid w:val="001701BE"/>
    <w:rsid w:val="0017706B"/>
    <w:rsid w:val="00181EE8"/>
    <w:rsid w:val="00185FF6"/>
    <w:rsid w:val="001873F3"/>
    <w:rsid w:val="00195B4D"/>
    <w:rsid w:val="001A7F23"/>
    <w:rsid w:val="001B13E4"/>
    <w:rsid w:val="001B28F2"/>
    <w:rsid w:val="001C0BD9"/>
    <w:rsid w:val="001C1783"/>
    <w:rsid w:val="001C2D98"/>
    <w:rsid w:val="001C2F73"/>
    <w:rsid w:val="001C31ED"/>
    <w:rsid w:val="001C598C"/>
    <w:rsid w:val="001D107F"/>
    <w:rsid w:val="001D12C0"/>
    <w:rsid w:val="001D3CCC"/>
    <w:rsid w:val="001D4091"/>
    <w:rsid w:val="001D4230"/>
    <w:rsid w:val="001D5570"/>
    <w:rsid w:val="001E09D1"/>
    <w:rsid w:val="001E17E8"/>
    <w:rsid w:val="001E299A"/>
    <w:rsid w:val="001E4BAF"/>
    <w:rsid w:val="001E69E6"/>
    <w:rsid w:val="001E72B8"/>
    <w:rsid w:val="001F09B0"/>
    <w:rsid w:val="001F1777"/>
    <w:rsid w:val="001F3053"/>
    <w:rsid w:val="001F3280"/>
    <w:rsid w:val="00205C01"/>
    <w:rsid w:val="00205DA0"/>
    <w:rsid w:val="002075CA"/>
    <w:rsid w:val="0021266B"/>
    <w:rsid w:val="00215749"/>
    <w:rsid w:val="00215F23"/>
    <w:rsid w:val="00216CCA"/>
    <w:rsid w:val="002206C5"/>
    <w:rsid w:val="00222AFA"/>
    <w:rsid w:val="00222CFE"/>
    <w:rsid w:val="00227824"/>
    <w:rsid w:val="00231C01"/>
    <w:rsid w:val="0023320D"/>
    <w:rsid w:val="0023357F"/>
    <w:rsid w:val="00235C16"/>
    <w:rsid w:val="002374EF"/>
    <w:rsid w:val="00243C2B"/>
    <w:rsid w:val="00243D31"/>
    <w:rsid w:val="0024513F"/>
    <w:rsid w:val="00247488"/>
    <w:rsid w:val="00254A00"/>
    <w:rsid w:val="00254F57"/>
    <w:rsid w:val="00255E2F"/>
    <w:rsid w:val="00261099"/>
    <w:rsid w:val="0026128F"/>
    <w:rsid w:val="002803B7"/>
    <w:rsid w:val="00280617"/>
    <w:rsid w:val="00280B46"/>
    <w:rsid w:val="00280BAF"/>
    <w:rsid w:val="00281A61"/>
    <w:rsid w:val="00286BFB"/>
    <w:rsid w:val="00287317"/>
    <w:rsid w:val="002A3C95"/>
    <w:rsid w:val="002A3C98"/>
    <w:rsid w:val="002A420E"/>
    <w:rsid w:val="002A50FE"/>
    <w:rsid w:val="002A53CB"/>
    <w:rsid w:val="002A5766"/>
    <w:rsid w:val="002A6849"/>
    <w:rsid w:val="002B1D13"/>
    <w:rsid w:val="002B40CB"/>
    <w:rsid w:val="002B4E17"/>
    <w:rsid w:val="002B536B"/>
    <w:rsid w:val="002B66BD"/>
    <w:rsid w:val="002C0FE8"/>
    <w:rsid w:val="002C5764"/>
    <w:rsid w:val="002C743F"/>
    <w:rsid w:val="002D437F"/>
    <w:rsid w:val="002D51DB"/>
    <w:rsid w:val="002D759C"/>
    <w:rsid w:val="002E03E6"/>
    <w:rsid w:val="002E5006"/>
    <w:rsid w:val="002E72C8"/>
    <w:rsid w:val="002F0813"/>
    <w:rsid w:val="002F305F"/>
    <w:rsid w:val="002F30A9"/>
    <w:rsid w:val="00303A72"/>
    <w:rsid w:val="003069DF"/>
    <w:rsid w:val="00307BF9"/>
    <w:rsid w:val="00313195"/>
    <w:rsid w:val="00316BAE"/>
    <w:rsid w:val="00322E90"/>
    <w:rsid w:val="00323A9F"/>
    <w:rsid w:val="00324A0F"/>
    <w:rsid w:val="00330893"/>
    <w:rsid w:val="003325B3"/>
    <w:rsid w:val="0033352F"/>
    <w:rsid w:val="00333EA5"/>
    <w:rsid w:val="00336358"/>
    <w:rsid w:val="0033708D"/>
    <w:rsid w:val="00337778"/>
    <w:rsid w:val="00343F10"/>
    <w:rsid w:val="00345D7A"/>
    <w:rsid w:val="0034647C"/>
    <w:rsid w:val="00353E4B"/>
    <w:rsid w:val="003600F5"/>
    <w:rsid w:val="0036110A"/>
    <w:rsid w:val="00361539"/>
    <w:rsid w:val="003638C8"/>
    <w:rsid w:val="00365571"/>
    <w:rsid w:val="00393072"/>
    <w:rsid w:val="00394F36"/>
    <w:rsid w:val="00397137"/>
    <w:rsid w:val="003A0CF1"/>
    <w:rsid w:val="003A0F09"/>
    <w:rsid w:val="003A255C"/>
    <w:rsid w:val="003B209F"/>
    <w:rsid w:val="003B3939"/>
    <w:rsid w:val="003B5D64"/>
    <w:rsid w:val="003B609C"/>
    <w:rsid w:val="003C6195"/>
    <w:rsid w:val="003D4EE8"/>
    <w:rsid w:val="003D58B6"/>
    <w:rsid w:val="003D72A5"/>
    <w:rsid w:val="003E2065"/>
    <w:rsid w:val="003F27B8"/>
    <w:rsid w:val="003F54C1"/>
    <w:rsid w:val="003F67C7"/>
    <w:rsid w:val="003F78A3"/>
    <w:rsid w:val="0040032F"/>
    <w:rsid w:val="00405095"/>
    <w:rsid w:val="00411B61"/>
    <w:rsid w:val="004143CF"/>
    <w:rsid w:val="00416D3B"/>
    <w:rsid w:val="0042061E"/>
    <w:rsid w:val="00422675"/>
    <w:rsid w:val="00423672"/>
    <w:rsid w:val="00426B0F"/>
    <w:rsid w:val="00432944"/>
    <w:rsid w:val="00432EE9"/>
    <w:rsid w:val="00433EA0"/>
    <w:rsid w:val="00436107"/>
    <w:rsid w:val="00440A0D"/>
    <w:rsid w:val="00445C11"/>
    <w:rsid w:val="00446A9A"/>
    <w:rsid w:val="00451FA5"/>
    <w:rsid w:val="004532EF"/>
    <w:rsid w:val="00454E50"/>
    <w:rsid w:val="00455C26"/>
    <w:rsid w:val="004566E4"/>
    <w:rsid w:val="004711C8"/>
    <w:rsid w:val="00471B43"/>
    <w:rsid w:val="00472DEC"/>
    <w:rsid w:val="00474C13"/>
    <w:rsid w:val="00475D66"/>
    <w:rsid w:val="00480E96"/>
    <w:rsid w:val="004814CF"/>
    <w:rsid w:val="00483D10"/>
    <w:rsid w:val="004845C9"/>
    <w:rsid w:val="0049066E"/>
    <w:rsid w:val="004915A2"/>
    <w:rsid w:val="00497EC8"/>
    <w:rsid w:val="004A4906"/>
    <w:rsid w:val="004A79EB"/>
    <w:rsid w:val="004A7F5F"/>
    <w:rsid w:val="004B7C55"/>
    <w:rsid w:val="004C089F"/>
    <w:rsid w:val="004C4FDC"/>
    <w:rsid w:val="004D24B8"/>
    <w:rsid w:val="004D43D7"/>
    <w:rsid w:val="004D5DDE"/>
    <w:rsid w:val="004E20E4"/>
    <w:rsid w:val="004F0DD1"/>
    <w:rsid w:val="004F2255"/>
    <w:rsid w:val="004F531F"/>
    <w:rsid w:val="004F7059"/>
    <w:rsid w:val="00506511"/>
    <w:rsid w:val="00511225"/>
    <w:rsid w:val="00512019"/>
    <w:rsid w:val="005139B7"/>
    <w:rsid w:val="00513C21"/>
    <w:rsid w:val="00515A41"/>
    <w:rsid w:val="00517090"/>
    <w:rsid w:val="00520609"/>
    <w:rsid w:val="00531706"/>
    <w:rsid w:val="005328C8"/>
    <w:rsid w:val="005346CD"/>
    <w:rsid w:val="00535E32"/>
    <w:rsid w:val="00542082"/>
    <w:rsid w:val="00553C42"/>
    <w:rsid w:val="0056103E"/>
    <w:rsid w:val="00561DCD"/>
    <w:rsid w:val="005621E3"/>
    <w:rsid w:val="005634C4"/>
    <w:rsid w:val="00563996"/>
    <w:rsid w:val="00565346"/>
    <w:rsid w:val="00566DA2"/>
    <w:rsid w:val="00566EE9"/>
    <w:rsid w:val="00570315"/>
    <w:rsid w:val="00573CBC"/>
    <w:rsid w:val="00574241"/>
    <w:rsid w:val="00574701"/>
    <w:rsid w:val="005748FA"/>
    <w:rsid w:val="00576CAD"/>
    <w:rsid w:val="00582B69"/>
    <w:rsid w:val="00586B83"/>
    <w:rsid w:val="00591304"/>
    <w:rsid w:val="005922FA"/>
    <w:rsid w:val="00594516"/>
    <w:rsid w:val="00595194"/>
    <w:rsid w:val="00596611"/>
    <w:rsid w:val="00597F3A"/>
    <w:rsid w:val="005A0797"/>
    <w:rsid w:val="005A406F"/>
    <w:rsid w:val="005A666D"/>
    <w:rsid w:val="005A7B78"/>
    <w:rsid w:val="005B0993"/>
    <w:rsid w:val="005B5771"/>
    <w:rsid w:val="005B6397"/>
    <w:rsid w:val="005B6CF8"/>
    <w:rsid w:val="005C06F9"/>
    <w:rsid w:val="005C1497"/>
    <w:rsid w:val="005C15FE"/>
    <w:rsid w:val="005C3373"/>
    <w:rsid w:val="005C3A67"/>
    <w:rsid w:val="005E0EAD"/>
    <w:rsid w:val="005E31CD"/>
    <w:rsid w:val="005E353D"/>
    <w:rsid w:val="005F1957"/>
    <w:rsid w:val="00601FC2"/>
    <w:rsid w:val="0060256E"/>
    <w:rsid w:val="00603B0E"/>
    <w:rsid w:val="00606BAC"/>
    <w:rsid w:val="00616A1C"/>
    <w:rsid w:val="00617ADA"/>
    <w:rsid w:val="00621CB1"/>
    <w:rsid w:val="0062309E"/>
    <w:rsid w:val="006327DF"/>
    <w:rsid w:val="0063348A"/>
    <w:rsid w:val="0063664E"/>
    <w:rsid w:val="006370FE"/>
    <w:rsid w:val="00650496"/>
    <w:rsid w:val="00654E30"/>
    <w:rsid w:val="006665EC"/>
    <w:rsid w:val="00667D41"/>
    <w:rsid w:val="00671471"/>
    <w:rsid w:val="006737AE"/>
    <w:rsid w:val="00674E82"/>
    <w:rsid w:val="00675C92"/>
    <w:rsid w:val="00676FAF"/>
    <w:rsid w:val="00680DE9"/>
    <w:rsid w:val="0068101D"/>
    <w:rsid w:val="00681D30"/>
    <w:rsid w:val="006822C2"/>
    <w:rsid w:val="006918F2"/>
    <w:rsid w:val="0069504A"/>
    <w:rsid w:val="00697866"/>
    <w:rsid w:val="006A2D17"/>
    <w:rsid w:val="006A33CF"/>
    <w:rsid w:val="006A4387"/>
    <w:rsid w:val="006A613D"/>
    <w:rsid w:val="006A7F01"/>
    <w:rsid w:val="006B4FE1"/>
    <w:rsid w:val="006B6859"/>
    <w:rsid w:val="006B71CD"/>
    <w:rsid w:val="006C2B5C"/>
    <w:rsid w:val="006C5C74"/>
    <w:rsid w:val="006D0213"/>
    <w:rsid w:val="006D60CB"/>
    <w:rsid w:val="006E3507"/>
    <w:rsid w:val="006E6067"/>
    <w:rsid w:val="006E6F39"/>
    <w:rsid w:val="006F0D49"/>
    <w:rsid w:val="006F4241"/>
    <w:rsid w:val="006F4B15"/>
    <w:rsid w:val="006F53F7"/>
    <w:rsid w:val="0070364E"/>
    <w:rsid w:val="00706A80"/>
    <w:rsid w:val="00713BA7"/>
    <w:rsid w:val="007152DF"/>
    <w:rsid w:val="007163F2"/>
    <w:rsid w:val="0071649C"/>
    <w:rsid w:val="0072110A"/>
    <w:rsid w:val="00724569"/>
    <w:rsid w:val="007261D8"/>
    <w:rsid w:val="007408C2"/>
    <w:rsid w:val="00746AAA"/>
    <w:rsid w:val="00746BC1"/>
    <w:rsid w:val="0074704E"/>
    <w:rsid w:val="00750469"/>
    <w:rsid w:val="00752F5C"/>
    <w:rsid w:val="007551E8"/>
    <w:rsid w:val="00764D11"/>
    <w:rsid w:val="00766977"/>
    <w:rsid w:val="007823E7"/>
    <w:rsid w:val="00782C53"/>
    <w:rsid w:val="00783B28"/>
    <w:rsid w:val="007844C2"/>
    <w:rsid w:val="00791513"/>
    <w:rsid w:val="00794987"/>
    <w:rsid w:val="00794A5C"/>
    <w:rsid w:val="00797F2F"/>
    <w:rsid w:val="007A33DD"/>
    <w:rsid w:val="007A4303"/>
    <w:rsid w:val="007B222A"/>
    <w:rsid w:val="007C1D54"/>
    <w:rsid w:val="007C2E46"/>
    <w:rsid w:val="007C4A7F"/>
    <w:rsid w:val="007C7383"/>
    <w:rsid w:val="007D1F6B"/>
    <w:rsid w:val="007D2755"/>
    <w:rsid w:val="007D2CA3"/>
    <w:rsid w:val="007D7177"/>
    <w:rsid w:val="007E0F23"/>
    <w:rsid w:val="007E1CB6"/>
    <w:rsid w:val="007E6A28"/>
    <w:rsid w:val="007E7B13"/>
    <w:rsid w:val="007F48B4"/>
    <w:rsid w:val="00803B72"/>
    <w:rsid w:val="0080737E"/>
    <w:rsid w:val="00807928"/>
    <w:rsid w:val="00807CE8"/>
    <w:rsid w:val="00816906"/>
    <w:rsid w:val="0082660D"/>
    <w:rsid w:val="00827391"/>
    <w:rsid w:val="00827788"/>
    <w:rsid w:val="008369FA"/>
    <w:rsid w:val="00840D3B"/>
    <w:rsid w:val="0084106C"/>
    <w:rsid w:val="00841302"/>
    <w:rsid w:val="008445D2"/>
    <w:rsid w:val="00845860"/>
    <w:rsid w:val="00845A8B"/>
    <w:rsid w:val="00845D3A"/>
    <w:rsid w:val="00847CF6"/>
    <w:rsid w:val="00855685"/>
    <w:rsid w:val="00860D59"/>
    <w:rsid w:val="0086682B"/>
    <w:rsid w:val="00867472"/>
    <w:rsid w:val="00870974"/>
    <w:rsid w:val="008800EE"/>
    <w:rsid w:val="00883F54"/>
    <w:rsid w:val="008850C9"/>
    <w:rsid w:val="00886271"/>
    <w:rsid w:val="008A18F7"/>
    <w:rsid w:val="008A1D75"/>
    <w:rsid w:val="008A25C3"/>
    <w:rsid w:val="008A3F32"/>
    <w:rsid w:val="008A5FF7"/>
    <w:rsid w:val="008A6DEF"/>
    <w:rsid w:val="008B1409"/>
    <w:rsid w:val="008B2EAA"/>
    <w:rsid w:val="008B6706"/>
    <w:rsid w:val="008C4CE6"/>
    <w:rsid w:val="008C60E4"/>
    <w:rsid w:val="008D4B78"/>
    <w:rsid w:val="008D5069"/>
    <w:rsid w:val="008E1643"/>
    <w:rsid w:val="008E1C7F"/>
    <w:rsid w:val="008E4A1D"/>
    <w:rsid w:val="008F08BE"/>
    <w:rsid w:val="00900DC4"/>
    <w:rsid w:val="00901130"/>
    <w:rsid w:val="0090128F"/>
    <w:rsid w:val="00910182"/>
    <w:rsid w:val="00910DBC"/>
    <w:rsid w:val="00913B42"/>
    <w:rsid w:val="00915BB8"/>
    <w:rsid w:val="00922DD0"/>
    <w:rsid w:val="00940745"/>
    <w:rsid w:val="009434C9"/>
    <w:rsid w:val="00950E52"/>
    <w:rsid w:val="00956BC3"/>
    <w:rsid w:val="00961E52"/>
    <w:rsid w:val="00962F0E"/>
    <w:rsid w:val="00964525"/>
    <w:rsid w:val="0096480E"/>
    <w:rsid w:val="009651F5"/>
    <w:rsid w:val="00965408"/>
    <w:rsid w:val="00966291"/>
    <w:rsid w:val="00972760"/>
    <w:rsid w:val="00976A40"/>
    <w:rsid w:val="0098079C"/>
    <w:rsid w:val="0098154B"/>
    <w:rsid w:val="009849F7"/>
    <w:rsid w:val="0098539B"/>
    <w:rsid w:val="00987269"/>
    <w:rsid w:val="0098777C"/>
    <w:rsid w:val="00987D37"/>
    <w:rsid w:val="0099182C"/>
    <w:rsid w:val="00991A9B"/>
    <w:rsid w:val="0099427A"/>
    <w:rsid w:val="0099483E"/>
    <w:rsid w:val="00996AEC"/>
    <w:rsid w:val="009A2031"/>
    <w:rsid w:val="009A47E3"/>
    <w:rsid w:val="009B0E1A"/>
    <w:rsid w:val="009B0E5F"/>
    <w:rsid w:val="009B11EB"/>
    <w:rsid w:val="009B1405"/>
    <w:rsid w:val="009B2A1F"/>
    <w:rsid w:val="009B5781"/>
    <w:rsid w:val="009B7AEA"/>
    <w:rsid w:val="009C0F10"/>
    <w:rsid w:val="009C16B1"/>
    <w:rsid w:val="009C7785"/>
    <w:rsid w:val="009D128D"/>
    <w:rsid w:val="009D2AC4"/>
    <w:rsid w:val="009D5FDD"/>
    <w:rsid w:val="009E51BE"/>
    <w:rsid w:val="009F0F34"/>
    <w:rsid w:val="009F32D2"/>
    <w:rsid w:val="009F4BDA"/>
    <w:rsid w:val="00A007C1"/>
    <w:rsid w:val="00A02CB2"/>
    <w:rsid w:val="00A047E2"/>
    <w:rsid w:val="00A11596"/>
    <w:rsid w:val="00A11D40"/>
    <w:rsid w:val="00A131B0"/>
    <w:rsid w:val="00A1458F"/>
    <w:rsid w:val="00A2697F"/>
    <w:rsid w:val="00A41BC9"/>
    <w:rsid w:val="00A573AD"/>
    <w:rsid w:val="00A60572"/>
    <w:rsid w:val="00A60A45"/>
    <w:rsid w:val="00A617EC"/>
    <w:rsid w:val="00A62106"/>
    <w:rsid w:val="00A6211D"/>
    <w:rsid w:val="00A647D6"/>
    <w:rsid w:val="00A65172"/>
    <w:rsid w:val="00A71136"/>
    <w:rsid w:val="00A75117"/>
    <w:rsid w:val="00A752D1"/>
    <w:rsid w:val="00A758B9"/>
    <w:rsid w:val="00A81326"/>
    <w:rsid w:val="00A94374"/>
    <w:rsid w:val="00A94675"/>
    <w:rsid w:val="00A9569E"/>
    <w:rsid w:val="00A95AE6"/>
    <w:rsid w:val="00AA1915"/>
    <w:rsid w:val="00AA3C6A"/>
    <w:rsid w:val="00AA479C"/>
    <w:rsid w:val="00AA7E6D"/>
    <w:rsid w:val="00AB4562"/>
    <w:rsid w:val="00AB6C44"/>
    <w:rsid w:val="00AB7923"/>
    <w:rsid w:val="00AC0218"/>
    <w:rsid w:val="00AC0703"/>
    <w:rsid w:val="00AC1D8A"/>
    <w:rsid w:val="00AC24F0"/>
    <w:rsid w:val="00AD02C7"/>
    <w:rsid w:val="00AD1597"/>
    <w:rsid w:val="00AD2107"/>
    <w:rsid w:val="00AD415E"/>
    <w:rsid w:val="00AD5A11"/>
    <w:rsid w:val="00AE06B7"/>
    <w:rsid w:val="00AE4BE4"/>
    <w:rsid w:val="00AE6049"/>
    <w:rsid w:val="00AF255F"/>
    <w:rsid w:val="00AF38F0"/>
    <w:rsid w:val="00AF61C0"/>
    <w:rsid w:val="00AF69EF"/>
    <w:rsid w:val="00B041FA"/>
    <w:rsid w:val="00B112C3"/>
    <w:rsid w:val="00B11C59"/>
    <w:rsid w:val="00B14DCC"/>
    <w:rsid w:val="00B14E8C"/>
    <w:rsid w:val="00B17307"/>
    <w:rsid w:val="00B20CBD"/>
    <w:rsid w:val="00B229F1"/>
    <w:rsid w:val="00B2441A"/>
    <w:rsid w:val="00B24B01"/>
    <w:rsid w:val="00B2653E"/>
    <w:rsid w:val="00B27395"/>
    <w:rsid w:val="00B27EC0"/>
    <w:rsid w:val="00B339D2"/>
    <w:rsid w:val="00B35EB1"/>
    <w:rsid w:val="00B40751"/>
    <w:rsid w:val="00B43C83"/>
    <w:rsid w:val="00B63110"/>
    <w:rsid w:val="00B63802"/>
    <w:rsid w:val="00B710F8"/>
    <w:rsid w:val="00B74C2F"/>
    <w:rsid w:val="00B93DEB"/>
    <w:rsid w:val="00B96172"/>
    <w:rsid w:val="00BB3EE1"/>
    <w:rsid w:val="00BB49C9"/>
    <w:rsid w:val="00BB791E"/>
    <w:rsid w:val="00BC012A"/>
    <w:rsid w:val="00BC48AF"/>
    <w:rsid w:val="00BD0D8E"/>
    <w:rsid w:val="00BD33D9"/>
    <w:rsid w:val="00BE1522"/>
    <w:rsid w:val="00BE3EA1"/>
    <w:rsid w:val="00BE5416"/>
    <w:rsid w:val="00BF1C37"/>
    <w:rsid w:val="00BF2328"/>
    <w:rsid w:val="00BF6AA1"/>
    <w:rsid w:val="00BF77BB"/>
    <w:rsid w:val="00C04FF0"/>
    <w:rsid w:val="00C22FB8"/>
    <w:rsid w:val="00C25109"/>
    <w:rsid w:val="00C254FF"/>
    <w:rsid w:val="00C35140"/>
    <w:rsid w:val="00C35983"/>
    <w:rsid w:val="00C42D9B"/>
    <w:rsid w:val="00C50AF8"/>
    <w:rsid w:val="00C52B30"/>
    <w:rsid w:val="00C663DF"/>
    <w:rsid w:val="00C76598"/>
    <w:rsid w:val="00C76662"/>
    <w:rsid w:val="00C84755"/>
    <w:rsid w:val="00C86062"/>
    <w:rsid w:val="00C87F6B"/>
    <w:rsid w:val="00CA10FB"/>
    <w:rsid w:val="00CA11BB"/>
    <w:rsid w:val="00CA6164"/>
    <w:rsid w:val="00CA6BB3"/>
    <w:rsid w:val="00CB36FF"/>
    <w:rsid w:val="00CC0028"/>
    <w:rsid w:val="00CC2CF0"/>
    <w:rsid w:val="00CC34B9"/>
    <w:rsid w:val="00CC3C1E"/>
    <w:rsid w:val="00CD6099"/>
    <w:rsid w:val="00CD7EE1"/>
    <w:rsid w:val="00CE1D80"/>
    <w:rsid w:val="00CE3058"/>
    <w:rsid w:val="00CE5834"/>
    <w:rsid w:val="00CE76DF"/>
    <w:rsid w:val="00CE774B"/>
    <w:rsid w:val="00CF3F43"/>
    <w:rsid w:val="00CF413D"/>
    <w:rsid w:val="00CF5F59"/>
    <w:rsid w:val="00CF7E6A"/>
    <w:rsid w:val="00D04A96"/>
    <w:rsid w:val="00D103F5"/>
    <w:rsid w:val="00D1082E"/>
    <w:rsid w:val="00D108D7"/>
    <w:rsid w:val="00D1766C"/>
    <w:rsid w:val="00D20B7C"/>
    <w:rsid w:val="00D227ED"/>
    <w:rsid w:val="00D242ED"/>
    <w:rsid w:val="00D41672"/>
    <w:rsid w:val="00D509C2"/>
    <w:rsid w:val="00D50EE3"/>
    <w:rsid w:val="00D552E0"/>
    <w:rsid w:val="00D5683E"/>
    <w:rsid w:val="00D611C3"/>
    <w:rsid w:val="00D63312"/>
    <w:rsid w:val="00D64705"/>
    <w:rsid w:val="00D64C0F"/>
    <w:rsid w:val="00D65EC4"/>
    <w:rsid w:val="00D67AF9"/>
    <w:rsid w:val="00D7256C"/>
    <w:rsid w:val="00D75483"/>
    <w:rsid w:val="00D83D75"/>
    <w:rsid w:val="00D84F67"/>
    <w:rsid w:val="00D873D0"/>
    <w:rsid w:val="00D921C9"/>
    <w:rsid w:val="00D93EE3"/>
    <w:rsid w:val="00D94399"/>
    <w:rsid w:val="00DA2266"/>
    <w:rsid w:val="00DA2A4F"/>
    <w:rsid w:val="00DA4733"/>
    <w:rsid w:val="00DB23A6"/>
    <w:rsid w:val="00DB3484"/>
    <w:rsid w:val="00DB3BF2"/>
    <w:rsid w:val="00DC0CBA"/>
    <w:rsid w:val="00DC5F9A"/>
    <w:rsid w:val="00DD2E20"/>
    <w:rsid w:val="00DD4CDF"/>
    <w:rsid w:val="00DD7447"/>
    <w:rsid w:val="00DE091B"/>
    <w:rsid w:val="00DE6825"/>
    <w:rsid w:val="00DE6E22"/>
    <w:rsid w:val="00DF0909"/>
    <w:rsid w:val="00E01FC7"/>
    <w:rsid w:val="00E06EF3"/>
    <w:rsid w:val="00E10A96"/>
    <w:rsid w:val="00E239D1"/>
    <w:rsid w:val="00E30FE9"/>
    <w:rsid w:val="00E31240"/>
    <w:rsid w:val="00E31D8A"/>
    <w:rsid w:val="00E3431C"/>
    <w:rsid w:val="00E366FA"/>
    <w:rsid w:val="00E42E61"/>
    <w:rsid w:val="00E475A9"/>
    <w:rsid w:val="00E505B9"/>
    <w:rsid w:val="00E51ABA"/>
    <w:rsid w:val="00E54695"/>
    <w:rsid w:val="00E56AEF"/>
    <w:rsid w:val="00E5705C"/>
    <w:rsid w:val="00E57242"/>
    <w:rsid w:val="00E578C5"/>
    <w:rsid w:val="00E6687B"/>
    <w:rsid w:val="00E671F1"/>
    <w:rsid w:val="00E705C3"/>
    <w:rsid w:val="00E709A4"/>
    <w:rsid w:val="00E80ADE"/>
    <w:rsid w:val="00E80B26"/>
    <w:rsid w:val="00E870D7"/>
    <w:rsid w:val="00E907C7"/>
    <w:rsid w:val="00E912F0"/>
    <w:rsid w:val="00E95002"/>
    <w:rsid w:val="00EA348F"/>
    <w:rsid w:val="00EA36B8"/>
    <w:rsid w:val="00EA6977"/>
    <w:rsid w:val="00EB5265"/>
    <w:rsid w:val="00EB640F"/>
    <w:rsid w:val="00EC04D8"/>
    <w:rsid w:val="00ED0544"/>
    <w:rsid w:val="00ED52D0"/>
    <w:rsid w:val="00ED5528"/>
    <w:rsid w:val="00ED6222"/>
    <w:rsid w:val="00ED762C"/>
    <w:rsid w:val="00EE08B6"/>
    <w:rsid w:val="00EE6F63"/>
    <w:rsid w:val="00EF08C3"/>
    <w:rsid w:val="00EF1CA6"/>
    <w:rsid w:val="00EF4C54"/>
    <w:rsid w:val="00F04322"/>
    <w:rsid w:val="00F139DE"/>
    <w:rsid w:val="00F14DE3"/>
    <w:rsid w:val="00F17721"/>
    <w:rsid w:val="00F206CA"/>
    <w:rsid w:val="00F2555E"/>
    <w:rsid w:val="00F33766"/>
    <w:rsid w:val="00F33F36"/>
    <w:rsid w:val="00F4237B"/>
    <w:rsid w:val="00F526A2"/>
    <w:rsid w:val="00F5315F"/>
    <w:rsid w:val="00F5495C"/>
    <w:rsid w:val="00F561CC"/>
    <w:rsid w:val="00F565B9"/>
    <w:rsid w:val="00F713D0"/>
    <w:rsid w:val="00F73E1B"/>
    <w:rsid w:val="00F74251"/>
    <w:rsid w:val="00F76940"/>
    <w:rsid w:val="00F82F34"/>
    <w:rsid w:val="00F8355F"/>
    <w:rsid w:val="00F93448"/>
    <w:rsid w:val="00F938D8"/>
    <w:rsid w:val="00FA5699"/>
    <w:rsid w:val="00FA5F39"/>
    <w:rsid w:val="00FA5F97"/>
    <w:rsid w:val="00FB6396"/>
    <w:rsid w:val="00FB7E2A"/>
    <w:rsid w:val="00FC6EF2"/>
    <w:rsid w:val="00FD20F6"/>
    <w:rsid w:val="00FD3DE7"/>
    <w:rsid w:val="00FD5B25"/>
    <w:rsid w:val="00FD7829"/>
    <w:rsid w:val="00FE2152"/>
    <w:rsid w:val="00FE58E6"/>
    <w:rsid w:val="00FE78FC"/>
    <w:rsid w:val="00FE7B83"/>
    <w:rsid w:val="00FF04D1"/>
    <w:rsid w:val="00FF643E"/>
    <w:rsid w:val="00FF6D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C7B22"/>
  <w15:chartTrackingRefBased/>
  <w15:docId w15:val="{7A8BF8CE-EA94-5949-B0F3-5F7D6ECE8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2F73"/>
    <w:pPr>
      <w:spacing w:after="0" w:line="240" w:lineRule="auto"/>
    </w:pPr>
    <w:rPr>
      <w:kern w:val="0"/>
      <w14:ligatures w14:val="none"/>
    </w:rPr>
  </w:style>
  <w:style w:type="paragraph" w:styleId="Titolo1">
    <w:name w:val="heading 1"/>
    <w:basedOn w:val="Normale"/>
    <w:next w:val="Normale"/>
    <w:link w:val="Titolo1Carattere"/>
    <w:uiPriority w:val="9"/>
    <w:qFormat/>
    <w:rsid w:val="001C2F7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1C2F7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1C2F7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1C2F73"/>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Titolo5">
    <w:name w:val="heading 5"/>
    <w:basedOn w:val="Normale"/>
    <w:next w:val="Normale"/>
    <w:link w:val="Titolo5Carattere"/>
    <w:uiPriority w:val="9"/>
    <w:semiHidden/>
    <w:unhideWhenUsed/>
    <w:qFormat/>
    <w:rsid w:val="001C2F73"/>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Titolo6">
    <w:name w:val="heading 6"/>
    <w:basedOn w:val="Normale"/>
    <w:next w:val="Normale"/>
    <w:link w:val="Titolo6Carattere"/>
    <w:uiPriority w:val="9"/>
    <w:semiHidden/>
    <w:unhideWhenUsed/>
    <w:qFormat/>
    <w:rsid w:val="001C2F73"/>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Titolo7">
    <w:name w:val="heading 7"/>
    <w:basedOn w:val="Normale"/>
    <w:next w:val="Normale"/>
    <w:link w:val="Titolo7Carattere"/>
    <w:uiPriority w:val="9"/>
    <w:semiHidden/>
    <w:unhideWhenUsed/>
    <w:qFormat/>
    <w:rsid w:val="001C2F73"/>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Titolo8">
    <w:name w:val="heading 8"/>
    <w:basedOn w:val="Normale"/>
    <w:next w:val="Normale"/>
    <w:link w:val="Titolo8Carattere"/>
    <w:uiPriority w:val="9"/>
    <w:semiHidden/>
    <w:unhideWhenUsed/>
    <w:qFormat/>
    <w:rsid w:val="001C2F73"/>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Titolo9">
    <w:name w:val="heading 9"/>
    <w:basedOn w:val="Normale"/>
    <w:next w:val="Normale"/>
    <w:link w:val="Titolo9Carattere"/>
    <w:uiPriority w:val="9"/>
    <w:semiHidden/>
    <w:unhideWhenUsed/>
    <w:qFormat/>
    <w:rsid w:val="001C2F73"/>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2F7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C2F7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C2F7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C2F7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C2F7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C2F7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C2F7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C2F7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C2F73"/>
    <w:rPr>
      <w:rFonts w:eastAsiaTheme="majorEastAsia" w:cstheme="majorBidi"/>
      <w:color w:val="272727" w:themeColor="text1" w:themeTint="D8"/>
    </w:rPr>
  </w:style>
  <w:style w:type="paragraph" w:styleId="Titolo">
    <w:name w:val="Title"/>
    <w:basedOn w:val="Normale"/>
    <w:next w:val="Normale"/>
    <w:link w:val="TitoloCarattere"/>
    <w:uiPriority w:val="10"/>
    <w:qFormat/>
    <w:rsid w:val="001C2F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1C2F7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C2F7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1C2F7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C2F73"/>
    <w:pPr>
      <w:spacing w:before="160" w:after="160" w:line="278" w:lineRule="auto"/>
      <w:jc w:val="center"/>
    </w:pPr>
    <w:rPr>
      <w:i/>
      <w:iCs/>
      <w:color w:val="404040" w:themeColor="text1" w:themeTint="BF"/>
      <w:kern w:val="2"/>
      <w14:ligatures w14:val="standardContextual"/>
    </w:rPr>
  </w:style>
  <w:style w:type="character" w:customStyle="1" w:styleId="CitazioneCarattere">
    <w:name w:val="Citazione Carattere"/>
    <w:basedOn w:val="Carpredefinitoparagrafo"/>
    <w:link w:val="Citazione"/>
    <w:uiPriority w:val="29"/>
    <w:rsid w:val="001C2F73"/>
    <w:rPr>
      <w:i/>
      <w:iCs/>
      <w:color w:val="404040" w:themeColor="text1" w:themeTint="BF"/>
    </w:rPr>
  </w:style>
  <w:style w:type="paragraph" w:styleId="Paragrafoelenco">
    <w:name w:val="List Paragraph"/>
    <w:basedOn w:val="Normale"/>
    <w:uiPriority w:val="34"/>
    <w:qFormat/>
    <w:rsid w:val="001C2F73"/>
    <w:pPr>
      <w:spacing w:after="160" w:line="278" w:lineRule="auto"/>
      <w:ind w:left="720"/>
      <w:contextualSpacing/>
    </w:pPr>
    <w:rPr>
      <w:kern w:val="2"/>
      <w14:ligatures w14:val="standardContextual"/>
    </w:rPr>
  </w:style>
  <w:style w:type="character" w:styleId="Enfasiintensa">
    <w:name w:val="Intense Emphasis"/>
    <w:basedOn w:val="Carpredefinitoparagrafo"/>
    <w:uiPriority w:val="21"/>
    <w:qFormat/>
    <w:rsid w:val="001C2F73"/>
    <w:rPr>
      <w:i/>
      <w:iCs/>
      <w:color w:val="0F4761" w:themeColor="accent1" w:themeShade="BF"/>
    </w:rPr>
  </w:style>
  <w:style w:type="paragraph" w:styleId="Citazioneintensa">
    <w:name w:val="Intense Quote"/>
    <w:basedOn w:val="Normale"/>
    <w:next w:val="Normale"/>
    <w:link w:val="CitazioneintensaCarattere"/>
    <w:uiPriority w:val="30"/>
    <w:qFormat/>
    <w:rsid w:val="001C2F7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CitazioneintensaCarattere">
    <w:name w:val="Citazione intensa Carattere"/>
    <w:basedOn w:val="Carpredefinitoparagrafo"/>
    <w:link w:val="Citazioneintensa"/>
    <w:uiPriority w:val="30"/>
    <w:rsid w:val="001C2F73"/>
    <w:rPr>
      <w:i/>
      <w:iCs/>
      <w:color w:val="0F4761" w:themeColor="accent1" w:themeShade="BF"/>
    </w:rPr>
  </w:style>
  <w:style w:type="character" w:styleId="Riferimentointenso">
    <w:name w:val="Intense Reference"/>
    <w:basedOn w:val="Carpredefinitoparagrafo"/>
    <w:uiPriority w:val="32"/>
    <w:qFormat/>
    <w:rsid w:val="001C2F73"/>
    <w:rPr>
      <w:b/>
      <w:bCs/>
      <w:smallCaps/>
      <w:color w:val="0F4761" w:themeColor="accent1" w:themeShade="BF"/>
      <w:spacing w:val="5"/>
    </w:rPr>
  </w:style>
  <w:style w:type="paragraph" w:styleId="Intestazione">
    <w:name w:val="header"/>
    <w:basedOn w:val="Normale"/>
    <w:link w:val="IntestazioneCarattere"/>
    <w:uiPriority w:val="99"/>
    <w:unhideWhenUsed/>
    <w:rsid w:val="001C2F73"/>
    <w:pPr>
      <w:tabs>
        <w:tab w:val="center" w:pos="4819"/>
        <w:tab w:val="right" w:pos="9638"/>
      </w:tabs>
    </w:pPr>
    <w:rPr>
      <w:kern w:val="2"/>
      <w14:ligatures w14:val="standardContextual"/>
    </w:rPr>
  </w:style>
  <w:style w:type="character" w:customStyle="1" w:styleId="IntestazioneCarattere">
    <w:name w:val="Intestazione Carattere"/>
    <w:basedOn w:val="Carpredefinitoparagrafo"/>
    <w:link w:val="Intestazione"/>
    <w:uiPriority w:val="99"/>
    <w:rsid w:val="001C2F73"/>
  </w:style>
  <w:style w:type="paragraph" w:styleId="Pidipagina">
    <w:name w:val="footer"/>
    <w:basedOn w:val="Normale"/>
    <w:link w:val="PidipaginaCarattere"/>
    <w:uiPriority w:val="99"/>
    <w:unhideWhenUsed/>
    <w:rsid w:val="001C2F73"/>
    <w:pPr>
      <w:tabs>
        <w:tab w:val="center" w:pos="4819"/>
        <w:tab w:val="right" w:pos="9638"/>
      </w:tabs>
    </w:pPr>
    <w:rPr>
      <w:kern w:val="2"/>
      <w14:ligatures w14:val="standardContextual"/>
    </w:rPr>
  </w:style>
  <w:style w:type="character" w:customStyle="1" w:styleId="PidipaginaCarattere">
    <w:name w:val="Piè di pagina Carattere"/>
    <w:basedOn w:val="Carpredefinitoparagrafo"/>
    <w:link w:val="Pidipagina"/>
    <w:uiPriority w:val="99"/>
    <w:rsid w:val="001C2F73"/>
  </w:style>
  <w:style w:type="character" w:styleId="Collegamentoipertestuale">
    <w:name w:val="Hyperlink"/>
    <w:basedOn w:val="Carpredefinitoparagrafo"/>
    <w:uiPriority w:val="99"/>
    <w:unhideWhenUsed/>
    <w:rsid w:val="00CD6099"/>
    <w:rPr>
      <w:color w:val="467886" w:themeColor="hyperlink"/>
      <w:u w:val="single"/>
    </w:rPr>
  </w:style>
  <w:style w:type="character" w:styleId="Menzionenonrisolta">
    <w:name w:val="Unresolved Mention"/>
    <w:basedOn w:val="Carpredefinitoparagrafo"/>
    <w:uiPriority w:val="99"/>
    <w:semiHidden/>
    <w:unhideWhenUsed/>
    <w:rsid w:val="00CD60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672E0-4E16-704B-8508-3798EC300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538</Words>
  <Characters>3071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PAGANO</dc:creator>
  <cp:keywords/>
  <dc:description/>
  <cp:lastModifiedBy>Rosanna Cuccaro</cp:lastModifiedBy>
  <cp:revision>34</cp:revision>
  <dcterms:created xsi:type="dcterms:W3CDTF">2026-04-08T10:55:00Z</dcterms:created>
  <dcterms:modified xsi:type="dcterms:W3CDTF">2026-04-09T12:50:00Z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2026-03-30T15:54:24Z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3f1d0027-fd7e-4b43-9839-8e3ba9df6a60</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