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FFD55" w14:textId="77777777" w:rsidR="00D25ABF" w:rsidRDefault="00D25ABF" w:rsidP="00775CBC">
      <w:pPr>
        <w:jc w:val="both"/>
        <w:rPr>
          <w:rFonts w:ascii="Times New Roman" w:hAnsi="Times New Roman"/>
          <w:b/>
        </w:rPr>
      </w:pPr>
      <w:bookmarkStart w:id="0" w:name="_GoBack"/>
      <w:bookmarkEnd w:id="0"/>
    </w:p>
    <w:p w14:paraId="48C6772D" w14:textId="77777777" w:rsidR="00D25ABF" w:rsidRDefault="00D25ABF" w:rsidP="00775CBC">
      <w:pPr>
        <w:jc w:val="both"/>
        <w:rPr>
          <w:rFonts w:ascii="Times New Roman" w:hAnsi="Times New Roman"/>
          <w:b/>
        </w:rPr>
      </w:pPr>
    </w:p>
    <w:p w14:paraId="00D6D643" w14:textId="77777777" w:rsidR="00D25ABF" w:rsidRDefault="00D25ABF" w:rsidP="00D25ABF">
      <w:pPr>
        <w:jc w:val="center"/>
        <w:rPr>
          <w:rFonts w:ascii="Times New Roman" w:hAnsi="Times New Roman"/>
          <w:b/>
        </w:rPr>
      </w:pPr>
      <w:r w:rsidRPr="00D25ABF">
        <w:rPr>
          <w:rFonts w:ascii="Times New Roman" w:hAnsi="Times New Roman"/>
          <w:b/>
          <w:bCs/>
          <w:smallCaps/>
        </w:rPr>
        <w:t>Maria Cristina Grisolia</w:t>
      </w:r>
      <w:r>
        <w:rPr>
          <w:rStyle w:val="Rimandonotaapidipagina"/>
          <w:rFonts w:ascii="Times New Roman" w:hAnsi="Times New Roman"/>
          <w:b/>
          <w:bCs/>
        </w:rPr>
        <w:footnoteReference w:customMarkFollows="1" w:id="1"/>
        <w:t>*</w:t>
      </w:r>
    </w:p>
    <w:p w14:paraId="4CE684CE" w14:textId="77777777" w:rsidR="00D25ABF" w:rsidRDefault="00D25ABF" w:rsidP="00775CBC">
      <w:pPr>
        <w:jc w:val="both"/>
        <w:rPr>
          <w:rFonts w:ascii="Times New Roman" w:hAnsi="Times New Roman"/>
          <w:b/>
        </w:rPr>
      </w:pPr>
    </w:p>
    <w:p w14:paraId="4281C314" w14:textId="77777777" w:rsidR="00D25ABF" w:rsidRDefault="00D25ABF" w:rsidP="00775CBC">
      <w:pPr>
        <w:jc w:val="both"/>
        <w:rPr>
          <w:rFonts w:ascii="Times New Roman" w:hAnsi="Times New Roman"/>
          <w:b/>
        </w:rPr>
      </w:pPr>
    </w:p>
    <w:p w14:paraId="0725BF52" w14:textId="77777777" w:rsidR="00175096" w:rsidRPr="00890456" w:rsidRDefault="00175096" w:rsidP="00D25ABF">
      <w:pPr>
        <w:ind w:firstLine="708"/>
        <w:jc w:val="both"/>
        <w:rPr>
          <w:rFonts w:ascii="Times New Roman" w:hAnsi="Times New Roman"/>
          <w:b/>
        </w:rPr>
      </w:pPr>
      <w:r w:rsidRPr="00890456">
        <w:rPr>
          <w:rFonts w:ascii="Times New Roman" w:hAnsi="Times New Roman"/>
          <w:b/>
        </w:rPr>
        <w:t>L’autonomia degli organi costituzionali e i limiti alle loro prerogative. Un tema ricorrente in lenta trasformazione</w:t>
      </w:r>
    </w:p>
    <w:p w14:paraId="4E29533A" w14:textId="77777777" w:rsidR="00175096" w:rsidRPr="00890456" w:rsidRDefault="00175096" w:rsidP="00775CBC">
      <w:pPr>
        <w:jc w:val="both"/>
        <w:rPr>
          <w:rFonts w:ascii="Times New Roman" w:hAnsi="Times New Roman"/>
          <w:b/>
          <w:bCs/>
        </w:rPr>
      </w:pPr>
    </w:p>
    <w:p w14:paraId="226AB8E1" w14:textId="77777777" w:rsidR="00175096" w:rsidRPr="00890456" w:rsidRDefault="00175096" w:rsidP="00775CBC">
      <w:pPr>
        <w:jc w:val="both"/>
        <w:rPr>
          <w:rFonts w:ascii="Times New Roman" w:hAnsi="Times New Roman"/>
          <w:b/>
        </w:rPr>
      </w:pPr>
    </w:p>
    <w:p w14:paraId="73435D49" w14:textId="77777777" w:rsidR="00175096" w:rsidRPr="00890456" w:rsidRDefault="00175096" w:rsidP="00D25ABF">
      <w:pPr>
        <w:ind w:firstLine="708"/>
        <w:jc w:val="both"/>
        <w:rPr>
          <w:rFonts w:ascii="Times New Roman" w:hAnsi="Times New Roman"/>
          <w:sz w:val="20"/>
          <w:szCs w:val="20"/>
        </w:rPr>
      </w:pPr>
      <w:r w:rsidRPr="00890456">
        <w:rPr>
          <w:rFonts w:ascii="Times New Roman" w:hAnsi="Times New Roman"/>
          <w:smallCaps/>
          <w:sz w:val="20"/>
          <w:szCs w:val="20"/>
        </w:rPr>
        <w:t>Sommario</w:t>
      </w:r>
      <w:r w:rsidRPr="00890456">
        <w:rPr>
          <w:rFonts w:ascii="Times New Roman" w:hAnsi="Times New Roman"/>
          <w:sz w:val="20"/>
          <w:szCs w:val="20"/>
        </w:rPr>
        <w:t>: 1. La sentenza della Corte costituzionale n. 240 del 2014 tra “cont</w:t>
      </w:r>
      <w:r w:rsidR="00D20643">
        <w:rPr>
          <w:rFonts w:ascii="Times New Roman" w:hAnsi="Times New Roman"/>
          <w:sz w:val="20"/>
          <w:szCs w:val="20"/>
        </w:rPr>
        <w:t>inuità” e “discontinuità” nell’</w:t>
      </w:r>
      <w:r w:rsidRPr="00890456">
        <w:rPr>
          <w:rFonts w:ascii="Times New Roman" w:hAnsi="Times New Roman"/>
          <w:sz w:val="20"/>
          <w:szCs w:val="20"/>
        </w:rPr>
        <w:t>indirizzo giurisprudenziale in materia di autodichia e di autonomia regolamentare delle Camere. – 2. La linea di demarcazione tracciata dalla Corte costituzionale tra autonomia regolamentare del Parlamento e legalità costituzionale. – 3. Il conflitto di attribuzioni come garanzia del rispetto di questo limite. La sua effettiva capacità di tutela  di tutti i valori coinvolti. Spunti conclusivi</w:t>
      </w:r>
      <w:r w:rsidR="00890456" w:rsidRPr="00890456">
        <w:rPr>
          <w:rFonts w:ascii="Times New Roman" w:hAnsi="Times New Roman"/>
          <w:sz w:val="20"/>
          <w:szCs w:val="20"/>
        </w:rPr>
        <w:t>.</w:t>
      </w:r>
    </w:p>
    <w:p w14:paraId="7A5EB9A5" w14:textId="77777777" w:rsidR="00175096" w:rsidRPr="00890456" w:rsidRDefault="00175096" w:rsidP="00775CBC">
      <w:pPr>
        <w:jc w:val="both"/>
        <w:rPr>
          <w:rFonts w:ascii="Times New Roman" w:hAnsi="Times New Roman"/>
          <w:sz w:val="28"/>
          <w:szCs w:val="28"/>
        </w:rPr>
      </w:pPr>
    </w:p>
    <w:p w14:paraId="1F04E029" w14:textId="77777777" w:rsidR="00175096" w:rsidRPr="00890456" w:rsidRDefault="00175096" w:rsidP="00775CBC">
      <w:pPr>
        <w:jc w:val="both"/>
        <w:rPr>
          <w:rFonts w:ascii="Times New Roman" w:hAnsi="Times New Roman"/>
          <w:sz w:val="28"/>
          <w:szCs w:val="28"/>
        </w:rPr>
      </w:pPr>
    </w:p>
    <w:p w14:paraId="19184A0E" w14:textId="77777777" w:rsidR="00175096" w:rsidRPr="00890456" w:rsidRDefault="00175096" w:rsidP="00775CBC">
      <w:pPr>
        <w:jc w:val="both"/>
        <w:rPr>
          <w:rFonts w:ascii="Times New Roman" w:hAnsi="Times New Roman"/>
          <w:sz w:val="28"/>
          <w:szCs w:val="28"/>
        </w:rPr>
      </w:pPr>
    </w:p>
    <w:p w14:paraId="53DDC7A9" w14:textId="77777777" w:rsidR="00175096" w:rsidRPr="00D25ABF" w:rsidRDefault="00175096" w:rsidP="00D25ABF">
      <w:pPr>
        <w:ind w:firstLine="709"/>
        <w:jc w:val="both"/>
        <w:rPr>
          <w:rFonts w:ascii="Times New Roman" w:hAnsi="Times New Roman"/>
          <w:i/>
        </w:rPr>
      </w:pPr>
      <w:r w:rsidRPr="00D25ABF">
        <w:rPr>
          <w:rFonts w:ascii="Times New Roman" w:hAnsi="Times New Roman"/>
        </w:rPr>
        <w:t>1.</w:t>
      </w:r>
      <w:r w:rsidR="00890456" w:rsidRPr="00D25ABF">
        <w:rPr>
          <w:rFonts w:ascii="Times New Roman" w:hAnsi="Times New Roman"/>
          <w:i/>
        </w:rPr>
        <w:t xml:space="preserve"> </w:t>
      </w:r>
      <w:r w:rsidRPr="00D25ABF">
        <w:rPr>
          <w:rFonts w:ascii="Times New Roman" w:hAnsi="Times New Roman"/>
          <w:i/>
        </w:rPr>
        <w:t>La sentenza della Corte costituzionale n. 240 del 2014 tra “continuità” e “discontinuità” dell’ indirizzo giurisprudenziale in materia di autodichia e autonomia regolamentare delle Camere</w:t>
      </w:r>
    </w:p>
    <w:p w14:paraId="7E4190A8" w14:textId="77777777" w:rsidR="00175096" w:rsidRPr="00D25ABF" w:rsidRDefault="00175096" w:rsidP="00D25ABF">
      <w:pPr>
        <w:pStyle w:val="Paragrafoelenco1"/>
        <w:ind w:left="0" w:firstLine="709"/>
        <w:jc w:val="both"/>
        <w:rPr>
          <w:rFonts w:ascii="Times New Roman" w:hAnsi="Times New Roman"/>
        </w:rPr>
      </w:pPr>
    </w:p>
    <w:p w14:paraId="34577D4F"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In una raccolta di scritti dedicati a Gaetano Silvestri mi è parso che il tema dell’autonomia degli organi costituzionali e dei limiti delle loro prerogative potesse assumere un particolare significato celebrativo. Tale tema, infatti, rappresenta uno dei profili che ha caratterizzato, più di altri, la </w:t>
      </w:r>
      <w:r w:rsidRPr="00D25ABF">
        <w:rPr>
          <w:rFonts w:ascii="Times New Roman" w:hAnsi="Times New Roman"/>
          <w:i/>
        </w:rPr>
        <w:t>cifra</w:t>
      </w:r>
      <w:r w:rsidRPr="00D25ABF">
        <w:rPr>
          <w:rFonts w:ascii="Times New Roman" w:hAnsi="Times New Roman"/>
        </w:rPr>
        <w:t xml:space="preserve"> del lungo mandato da questi svolto, prima, come membro e, poi, come Presidente della Corte costituzionale; dove alcune delle più significative sentenze testimoniano, con la sua firma, il contributo prestato allo sviluppo di questa problematica.</w:t>
      </w:r>
    </w:p>
    <w:p w14:paraId="1B6F1858" w14:textId="77777777" w:rsidR="00175096" w:rsidRPr="00D25ABF" w:rsidRDefault="00175096" w:rsidP="00D25ABF">
      <w:pPr>
        <w:ind w:firstLine="709"/>
        <w:jc w:val="both"/>
        <w:rPr>
          <w:rFonts w:ascii="Times New Roman" w:hAnsi="Times New Roman"/>
        </w:rPr>
      </w:pPr>
      <w:r w:rsidRPr="00D25ABF">
        <w:rPr>
          <w:rFonts w:ascii="Times New Roman" w:hAnsi="Times New Roman"/>
        </w:rPr>
        <w:t>L’occasione</w:t>
      </w:r>
      <w:r w:rsidRPr="00D25ABF">
        <w:rPr>
          <w:rFonts w:ascii="Times New Roman" w:hAnsi="Times New Roman"/>
          <w:i/>
        </w:rPr>
        <w:t xml:space="preserve"> </w:t>
      </w:r>
      <w:r w:rsidRPr="00D25ABF">
        <w:rPr>
          <w:rFonts w:ascii="Times New Roman" w:hAnsi="Times New Roman"/>
        </w:rPr>
        <w:t>di tornare sull’argomento è stata fornita dall’ancora recente sentenza in materia di autodichia delle Camere</w:t>
      </w:r>
      <w:r w:rsidRPr="00D25ABF">
        <w:rPr>
          <w:rStyle w:val="Rimandonotaapidipagina"/>
          <w:rFonts w:ascii="Times New Roman" w:hAnsi="Times New Roman"/>
        </w:rPr>
        <w:footnoteReference w:id="2"/>
      </w:r>
      <w:r w:rsidRPr="00D25ABF">
        <w:rPr>
          <w:rFonts w:ascii="Times New Roman" w:hAnsi="Times New Roman"/>
        </w:rPr>
        <w:t>,</w:t>
      </w:r>
      <w:r w:rsidR="00C128A5">
        <w:rPr>
          <w:rFonts w:ascii="Times New Roman" w:hAnsi="Times New Roman"/>
        </w:rPr>
        <w:t xml:space="preserve"> </w:t>
      </w:r>
      <w:r w:rsidRPr="00D25ABF">
        <w:rPr>
          <w:rFonts w:ascii="Times New Roman" w:hAnsi="Times New Roman"/>
        </w:rPr>
        <w:t>con la quale</w:t>
      </w:r>
      <w:r w:rsidR="00C128A5">
        <w:rPr>
          <w:rFonts w:ascii="Times New Roman" w:hAnsi="Times New Roman"/>
        </w:rPr>
        <w:t xml:space="preserve"> </w:t>
      </w:r>
      <w:r w:rsidRPr="00D25ABF">
        <w:rPr>
          <w:rFonts w:ascii="Times New Roman" w:hAnsi="Times New Roman"/>
        </w:rPr>
        <w:t>il giudice costituzionale, pur respingendo con una pronuncia di inammissibilità la questione sollevata dalle Sezioni Unite civili della Corte di Cassazione</w:t>
      </w:r>
      <w:r w:rsidRPr="00D25ABF">
        <w:rPr>
          <w:rStyle w:val="Rimandonotaapidipagina"/>
          <w:rFonts w:ascii="Times New Roman" w:hAnsi="Times New Roman"/>
        </w:rPr>
        <w:footnoteReference w:id="3"/>
      </w:r>
      <w:r w:rsidRPr="00D25ABF">
        <w:rPr>
          <w:rFonts w:ascii="Times New Roman" w:hAnsi="Times New Roman"/>
        </w:rPr>
        <w:t>,ha offerto allo studioso più di uno spunto di riflessione.</w:t>
      </w:r>
    </w:p>
    <w:p w14:paraId="100596E1" w14:textId="77777777" w:rsidR="00175096" w:rsidRPr="00D25ABF" w:rsidRDefault="00175096" w:rsidP="00D25ABF">
      <w:pPr>
        <w:ind w:firstLine="709"/>
        <w:jc w:val="both"/>
        <w:rPr>
          <w:rFonts w:ascii="Times New Roman" w:hAnsi="Times New Roman"/>
        </w:rPr>
      </w:pPr>
      <w:r w:rsidRPr="00D25ABF">
        <w:rPr>
          <w:rFonts w:ascii="Times New Roman" w:hAnsi="Times New Roman"/>
        </w:rPr>
        <w:t>La questione riguardava un giudizio proposto</w:t>
      </w:r>
      <w:r w:rsidR="00C128A5">
        <w:rPr>
          <w:rFonts w:ascii="Times New Roman" w:hAnsi="Times New Roman"/>
        </w:rPr>
        <w:t xml:space="preserve"> </w:t>
      </w:r>
      <w:r w:rsidRPr="00D25ABF">
        <w:rPr>
          <w:rFonts w:ascii="Times New Roman" w:hAnsi="Times New Roman"/>
        </w:rPr>
        <w:t>da un dipendente del Senato avverso la decisione</w:t>
      </w:r>
      <w:r w:rsidR="00890456" w:rsidRPr="00D25ABF">
        <w:rPr>
          <w:rFonts w:ascii="Times New Roman" w:hAnsi="Times New Roman"/>
        </w:rPr>
        <w:t xml:space="preserve"> </w:t>
      </w:r>
      <w:r w:rsidRPr="00D25ABF">
        <w:rPr>
          <w:rFonts w:ascii="Times New Roman" w:hAnsi="Times New Roman"/>
        </w:rPr>
        <w:t xml:space="preserve">resa </w:t>
      </w:r>
      <w:r w:rsidR="00890456" w:rsidRPr="00D25ABF">
        <w:rPr>
          <w:rFonts w:ascii="Times New Roman" w:hAnsi="Times New Roman"/>
        </w:rPr>
        <w:t>–</w:t>
      </w:r>
      <w:r w:rsidRPr="00D25ABF">
        <w:rPr>
          <w:rFonts w:ascii="Times New Roman" w:hAnsi="Times New Roman"/>
        </w:rPr>
        <w:t xml:space="preserve"> in grado di appello</w:t>
      </w:r>
      <w:r w:rsidR="00890456" w:rsidRPr="00D25ABF">
        <w:rPr>
          <w:rFonts w:ascii="Times New Roman" w:hAnsi="Times New Roman"/>
        </w:rPr>
        <w:t xml:space="preserve"> –</w:t>
      </w:r>
      <w:r w:rsidRPr="00D25ABF">
        <w:rPr>
          <w:rFonts w:ascii="Times New Roman" w:hAnsi="Times New Roman"/>
        </w:rPr>
        <w:t xml:space="preserve"> dal Consiglio di garanzia</w:t>
      </w:r>
      <w:r w:rsidRPr="00D25ABF">
        <w:rPr>
          <w:rStyle w:val="Rimandonotaapidipagina"/>
          <w:rFonts w:ascii="Times New Roman" w:hAnsi="Times New Roman"/>
        </w:rPr>
        <w:footnoteReference w:id="4"/>
      </w:r>
      <w:r w:rsidR="00692568">
        <w:rPr>
          <w:rFonts w:ascii="Times New Roman" w:hAnsi="Times New Roman"/>
        </w:rPr>
        <w:t xml:space="preserve"> </w:t>
      </w:r>
      <w:r w:rsidRPr="00D25ABF">
        <w:rPr>
          <w:rFonts w:ascii="Times New Roman" w:hAnsi="Times New Roman"/>
        </w:rPr>
        <w:t>in un giudizio di ottemperanza relativo ad una causa di lavoro.</w:t>
      </w:r>
    </w:p>
    <w:p w14:paraId="4179DDFA" w14:textId="77777777" w:rsidR="00175096" w:rsidRPr="00D25ABF" w:rsidRDefault="00175096" w:rsidP="00D25ABF">
      <w:pPr>
        <w:ind w:firstLine="709"/>
        <w:jc w:val="both"/>
        <w:rPr>
          <w:rFonts w:ascii="Times New Roman" w:hAnsi="Times New Roman"/>
        </w:rPr>
      </w:pPr>
      <w:r w:rsidRPr="00D25ABF">
        <w:rPr>
          <w:rFonts w:ascii="Times New Roman" w:hAnsi="Times New Roman"/>
        </w:rPr>
        <w:lastRenderedPageBreak/>
        <w:t>In tale circostanza il giudice di legittimità, adito ex art.</w:t>
      </w:r>
      <w:r w:rsidR="00890456" w:rsidRPr="00D25ABF">
        <w:rPr>
          <w:rFonts w:ascii="Times New Roman" w:hAnsi="Times New Roman"/>
        </w:rPr>
        <w:t xml:space="preserve"> </w:t>
      </w:r>
      <w:r w:rsidRPr="00D25ABF">
        <w:rPr>
          <w:rFonts w:ascii="Times New Roman" w:hAnsi="Times New Roman"/>
        </w:rPr>
        <w:t>111</w:t>
      </w:r>
      <w:r w:rsidR="00890456" w:rsidRPr="00D25ABF">
        <w:rPr>
          <w:rFonts w:ascii="Times New Roman" w:hAnsi="Times New Roman"/>
        </w:rPr>
        <w:t xml:space="preserve"> </w:t>
      </w:r>
      <w:proofErr w:type="spellStart"/>
      <w:r w:rsidRPr="00D25ABF">
        <w:rPr>
          <w:rFonts w:ascii="Times New Roman" w:hAnsi="Times New Roman"/>
        </w:rPr>
        <w:t>Cost</w:t>
      </w:r>
      <w:proofErr w:type="spellEnd"/>
      <w:r w:rsidRPr="00D25ABF">
        <w:rPr>
          <w:rFonts w:ascii="Times New Roman" w:hAnsi="Times New Roman"/>
        </w:rPr>
        <w:t>., riproponeva, come già accaduto in passato</w:t>
      </w:r>
      <w:r w:rsidRPr="00D25ABF">
        <w:rPr>
          <w:rStyle w:val="Rimandonotaapidipagina"/>
          <w:rFonts w:ascii="Times New Roman" w:hAnsi="Times New Roman"/>
        </w:rPr>
        <w:footnoteReference w:id="5"/>
      </w:r>
      <w:r w:rsidRPr="00D25ABF">
        <w:rPr>
          <w:rFonts w:ascii="Times New Roman" w:hAnsi="Times New Roman"/>
        </w:rPr>
        <w:t xml:space="preserve">, questione di legittimità costituzionale delle norme – e segnatamente dell’art.12 del regolamento del Senato </w:t>
      </w:r>
      <w:r w:rsidR="0014592B" w:rsidRPr="00D25ABF">
        <w:rPr>
          <w:rFonts w:ascii="Times New Roman" w:hAnsi="Times New Roman"/>
        </w:rPr>
        <w:t>–</w:t>
      </w:r>
      <w:r w:rsidRPr="00D25ABF">
        <w:rPr>
          <w:rFonts w:ascii="Times New Roman" w:hAnsi="Times New Roman"/>
        </w:rPr>
        <w:t xml:space="preserve"> che attribuiscono alle Assemblee parlamentari, in sede di autodichia, il potere di decidere in via esclusiva e definitiva i ricorsi avverso gli atti e i provvedimenti adottati in materia di lavoro.</w:t>
      </w:r>
    </w:p>
    <w:p w14:paraId="7B45880C" w14:textId="1C84C0D3" w:rsidR="00175096" w:rsidRPr="00D25ABF" w:rsidRDefault="00175096" w:rsidP="00D25ABF">
      <w:pPr>
        <w:ind w:firstLine="709"/>
        <w:jc w:val="both"/>
        <w:rPr>
          <w:rFonts w:ascii="Times New Roman" w:hAnsi="Times New Roman"/>
        </w:rPr>
      </w:pPr>
      <w:r w:rsidRPr="00D25ABF">
        <w:rPr>
          <w:rFonts w:ascii="Times New Roman" w:hAnsi="Times New Roman"/>
        </w:rPr>
        <w:t>La sentenza della Corte è, come già detto,</w:t>
      </w:r>
      <w:r w:rsidR="00CA46F8">
        <w:rPr>
          <w:rFonts w:ascii="Times New Roman" w:hAnsi="Times New Roman"/>
        </w:rPr>
        <w:t xml:space="preserve"> </w:t>
      </w:r>
      <w:r w:rsidRPr="00D25ABF">
        <w:rPr>
          <w:rFonts w:ascii="Times New Roman" w:hAnsi="Times New Roman"/>
        </w:rPr>
        <w:t xml:space="preserve">una sentenza di inammissibilità. </w:t>
      </w:r>
    </w:p>
    <w:p w14:paraId="35813875" w14:textId="77777777" w:rsidR="00175096" w:rsidRPr="00D25ABF" w:rsidRDefault="00175096" w:rsidP="00D25ABF">
      <w:pPr>
        <w:ind w:firstLine="709"/>
        <w:jc w:val="both"/>
        <w:rPr>
          <w:rFonts w:ascii="Times New Roman" w:hAnsi="Times New Roman"/>
        </w:rPr>
      </w:pPr>
      <w:r w:rsidRPr="00D25ABF">
        <w:rPr>
          <w:rFonts w:ascii="Times New Roman" w:hAnsi="Times New Roman"/>
        </w:rPr>
        <w:t>Il giudice costituzionale, infatti, confermando un antico indirizzo</w:t>
      </w:r>
      <w:r w:rsidRPr="00D25ABF">
        <w:rPr>
          <w:rStyle w:val="Rimandonotaapidipagina"/>
          <w:rFonts w:ascii="Times New Roman" w:hAnsi="Times New Roman"/>
        </w:rPr>
        <w:footnoteReference w:id="6"/>
      </w:r>
      <w:r w:rsidRPr="00D25ABF">
        <w:rPr>
          <w:rFonts w:ascii="Times New Roman" w:hAnsi="Times New Roman"/>
        </w:rPr>
        <w:t>,</w:t>
      </w:r>
      <w:r w:rsidR="0014592B" w:rsidRPr="00D25ABF">
        <w:rPr>
          <w:rFonts w:ascii="Times New Roman" w:hAnsi="Times New Roman"/>
        </w:rPr>
        <w:t xml:space="preserve"> </w:t>
      </w:r>
      <w:r w:rsidRPr="00D25ABF">
        <w:rPr>
          <w:rFonts w:ascii="Times New Roman" w:hAnsi="Times New Roman"/>
        </w:rPr>
        <w:t xml:space="preserve">ha dichiarato la propria incompetenza a giudicare atti normativi, i regolamenti parlamentari, non rientranti, per la loro particolare natura, tra gli atti aventi forza di legge di cui all’art. 134 </w:t>
      </w:r>
      <w:proofErr w:type="spellStart"/>
      <w:r w:rsidRPr="00D25ABF">
        <w:rPr>
          <w:rFonts w:ascii="Times New Roman" w:hAnsi="Times New Roman"/>
        </w:rPr>
        <w:t>Cost</w:t>
      </w:r>
      <w:proofErr w:type="spellEnd"/>
      <w:r w:rsidRPr="00D25ABF">
        <w:rPr>
          <w:rFonts w:ascii="Times New Roman" w:hAnsi="Times New Roman"/>
        </w:rPr>
        <w:t>.</w:t>
      </w:r>
    </w:p>
    <w:p w14:paraId="395FC356"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“Nel sistema delle fonti  delineato dalla stessa Costituzione – ha affermato la Corte – il regolamento parlamentare è espressamente previsto dall’art. 64 come fonte dotata di una sfera di competenza riservata e distinta rispetto a quella della legge ordinaria e nella quale, pertanto, neppure questa è abilitata ad intervenire.” Da ciò – ha concluso il giudice costituzionale – l’impossibilità di includere il medesimo regolamento tra gli atti  richiamati dall’art. 134 </w:t>
      </w:r>
      <w:proofErr w:type="spellStart"/>
      <w:r w:rsidRPr="00D25ABF">
        <w:rPr>
          <w:rFonts w:ascii="Times New Roman" w:hAnsi="Times New Roman"/>
        </w:rPr>
        <w:t>Cost</w:t>
      </w:r>
      <w:proofErr w:type="spellEnd"/>
      <w:r w:rsidRPr="00D25ABF">
        <w:rPr>
          <w:rFonts w:ascii="Times New Roman" w:hAnsi="Times New Roman"/>
        </w:rPr>
        <w:t>. i quali si caratterizzano per essere in grado, al pari della legge,  di “regolare ciò che rientra nella (sua)competenza” e non, invece, per la</w:t>
      </w:r>
      <w:r w:rsidR="0014592B" w:rsidRPr="00D25ABF">
        <w:rPr>
          <w:rFonts w:ascii="Times New Roman" w:hAnsi="Times New Roman"/>
        </w:rPr>
        <w:t xml:space="preserve"> </w:t>
      </w:r>
      <w:r w:rsidRPr="00D25ABF">
        <w:rPr>
          <w:rFonts w:ascii="Times New Roman" w:hAnsi="Times New Roman"/>
        </w:rPr>
        <w:t>loro veste primaria di fonti direttamente disciplinate dalla Costituzione</w:t>
      </w:r>
      <w:r w:rsidRPr="00D25ABF">
        <w:rPr>
          <w:rStyle w:val="Rimandonotaapidipagina"/>
          <w:rFonts w:ascii="Times New Roman" w:hAnsi="Times New Roman"/>
        </w:rPr>
        <w:footnoteReference w:id="7"/>
      </w:r>
      <w:r w:rsidRPr="00D25ABF">
        <w:rPr>
          <w:rFonts w:ascii="Times New Roman" w:hAnsi="Times New Roman"/>
        </w:rPr>
        <w:t>.</w:t>
      </w:r>
    </w:p>
    <w:p w14:paraId="29D58420" w14:textId="77777777" w:rsidR="00175096" w:rsidRPr="00D25ABF" w:rsidRDefault="00175096" w:rsidP="00D25ABF">
      <w:pPr>
        <w:ind w:firstLine="709"/>
        <w:jc w:val="both"/>
        <w:rPr>
          <w:rFonts w:ascii="Times New Roman" w:hAnsi="Times New Roman"/>
        </w:rPr>
      </w:pPr>
      <w:r w:rsidRPr="00D25ABF">
        <w:rPr>
          <w:rFonts w:ascii="Times New Roman" w:hAnsi="Times New Roman"/>
        </w:rPr>
        <w:t>E, tuttavia, nonostante questa conferma (che mantiene intatto l’indirizzo in tema di autonomia regolamentare delle Camere), ciò che</w:t>
      </w:r>
      <w:r w:rsidR="0014592B" w:rsidRPr="00D25ABF">
        <w:rPr>
          <w:rFonts w:ascii="Times New Roman" w:hAnsi="Times New Roman"/>
        </w:rPr>
        <w:t xml:space="preserve"> </w:t>
      </w:r>
      <w:r w:rsidRPr="00D25ABF">
        <w:rPr>
          <w:rFonts w:ascii="Times New Roman" w:hAnsi="Times New Roman"/>
        </w:rPr>
        <w:t xml:space="preserve">ha colpito alcuni di coloro che hanno  commentato tale pronuncia </w:t>
      </w:r>
      <w:r w:rsidRPr="00D25ABF">
        <w:rPr>
          <w:rStyle w:val="Rimandonotaapidipagina"/>
          <w:rFonts w:ascii="Times New Roman" w:hAnsi="Times New Roman"/>
        </w:rPr>
        <w:footnoteReference w:id="8"/>
      </w:r>
      <w:r w:rsidRPr="00D25ABF">
        <w:rPr>
          <w:rFonts w:ascii="Times New Roman" w:hAnsi="Times New Roman"/>
        </w:rPr>
        <w:t xml:space="preserve"> non sono stati tanto i profili di “continuità” che in essa compaiono,  ma piuttosto i segni di “discontinuità” che la sentenza</w:t>
      </w:r>
      <w:r w:rsidR="0014592B" w:rsidRPr="00D25ABF">
        <w:rPr>
          <w:rFonts w:ascii="Times New Roman" w:hAnsi="Times New Roman"/>
        </w:rPr>
        <w:t xml:space="preserve"> </w:t>
      </w:r>
      <w:r w:rsidRPr="00D25ABF">
        <w:rPr>
          <w:rFonts w:ascii="Times New Roman" w:hAnsi="Times New Roman"/>
        </w:rPr>
        <w:t>viene a marcare sui precedenti giurisprudenziali della Corte.</w:t>
      </w:r>
      <w:r w:rsidR="0014592B" w:rsidRPr="00D25ABF">
        <w:rPr>
          <w:rFonts w:ascii="Times New Roman" w:hAnsi="Times New Roman"/>
        </w:rPr>
        <w:t xml:space="preserve"> </w:t>
      </w:r>
      <w:r w:rsidRPr="00D25ABF">
        <w:rPr>
          <w:rFonts w:ascii="Times New Roman" w:hAnsi="Times New Roman"/>
        </w:rPr>
        <w:t xml:space="preserve">Segni così evidenti da far ritenere, anche a chi si è sempre dimostrato un prudente commentatore di quella giurisprudenza, di essere in presenza di una  vera e propria “decisione ponte”. </w:t>
      </w:r>
    </w:p>
    <w:p w14:paraId="7F3A76D8" w14:textId="77777777" w:rsidR="00175096" w:rsidRPr="00D25ABF" w:rsidRDefault="00175096" w:rsidP="00D25ABF">
      <w:pPr>
        <w:ind w:firstLine="709"/>
        <w:jc w:val="both"/>
        <w:rPr>
          <w:rFonts w:ascii="Times New Roman" w:hAnsi="Times New Roman"/>
        </w:rPr>
      </w:pPr>
      <w:r w:rsidRPr="00D25ABF">
        <w:rPr>
          <w:rFonts w:ascii="Times New Roman" w:hAnsi="Times New Roman"/>
        </w:rPr>
        <w:t>Una decisione,</w:t>
      </w:r>
      <w:r w:rsidR="0014592B" w:rsidRPr="00D25ABF">
        <w:rPr>
          <w:rFonts w:ascii="Times New Roman" w:hAnsi="Times New Roman"/>
        </w:rPr>
        <w:t xml:space="preserve"> </w:t>
      </w:r>
      <w:r w:rsidRPr="00D25ABF">
        <w:rPr>
          <w:rFonts w:ascii="Times New Roman" w:hAnsi="Times New Roman"/>
        </w:rPr>
        <w:t>cioè, destinata a segnare il passaggio tra “un oscuro passato” ed un promettente futuro di segno opposto”</w:t>
      </w:r>
      <w:r w:rsidRPr="00D25ABF">
        <w:rPr>
          <w:rStyle w:val="Rimandonotaapidipagina"/>
          <w:rFonts w:ascii="Times New Roman" w:hAnsi="Times New Roman"/>
        </w:rPr>
        <w:footnoteReference w:id="9"/>
      </w:r>
      <w:r w:rsidRPr="00D25ABF">
        <w:rPr>
          <w:rFonts w:ascii="Times New Roman" w:hAnsi="Times New Roman"/>
        </w:rPr>
        <w:t>.</w:t>
      </w:r>
    </w:p>
    <w:p w14:paraId="00EE37A8" w14:textId="77777777" w:rsidR="00175096" w:rsidRPr="00D25ABF" w:rsidRDefault="00175096" w:rsidP="00D25ABF">
      <w:pPr>
        <w:ind w:firstLine="709"/>
        <w:jc w:val="both"/>
        <w:rPr>
          <w:rFonts w:ascii="Times New Roman" w:hAnsi="Times New Roman"/>
        </w:rPr>
      </w:pPr>
      <w:r w:rsidRPr="00D25ABF">
        <w:rPr>
          <w:rFonts w:ascii="Times New Roman" w:hAnsi="Times New Roman"/>
        </w:rPr>
        <w:t>In realtà, al di là delle più ottimistiche previsioni, non tutti sono stati di identico avviso. C’è chi, invece, ha piuttosto sottolineato le ambiguità di una pronuncia che non appare sempre chiara ed univoca</w:t>
      </w:r>
      <w:r w:rsidRPr="00D25ABF">
        <w:rPr>
          <w:rStyle w:val="Rimandonotaapidipagina"/>
          <w:rFonts w:ascii="Times New Roman" w:hAnsi="Times New Roman"/>
        </w:rPr>
        <w:footnoteReference w:id="10"/>
      </w:r>
      <w:r w:rsidRPr="00D25ABF">
        <w:rPr>
          <w:rFonts w:ascii="Times New Roman" w:hAnsi="Times New Roman"/>
        </w:rPr>
        <w:t>.</w:t>
      </w:r>
    </w:p>
    <w:p w14:paraId="4DD9CCD2"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Per capire bene come stanno le cose, merita ripercorrere il ragionamento della Corte per evidenziare quali e quanto rilevanti le indicazioni fornite dal giudice costituzionale.</w:t>
      </w:r>
    </w:p>
    <w:p w14:paraId="37937540"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A tal fine è obbligatorio il raffronto tra questa pronuncia  e quello  che ancora costituisce il </w:t>
      </w:r>
      <w:proofErr w:type="spellStart"/>
      <w:r w:rsidRPr="00D25ABF">
        <w:rPr>
          <w:rFonts w:ascii="Times New Roman" w:hAnsi="Times New Roman"/>
          <w:i/>
        </w:rPr>
        <w:t>leading</w:t>
      </w:r>
      <w:proofErr w:type="spellEnd"/>
      <w:r w:rsidRPr="00D25ABF">
        <w:rPr>
          <w:rFonts w:ascii="Times New Roman" w:hAnsi="Times New Roman"/>
          <w:i/>
        </w:rPr>
        <w:t xml:space="preserve"> case</w:t>
      </w:r>
      <w:r w:rsidRPr="00D25ABF">
        <w:rPr>
          <w:rStyle w:val="Rimandonotaapidipagina"/>
          <w:rFonts w:ascii="Times New Roman" w:hAnsi="Times New Roman"/>
          <w:i/>
        </w:rPr>
        <w:footnoteReference w:id="11"/>
      </w:r>
      <w:r w:rsidRPr="00D25ABF">
        <w:rPr>
          <w:rFonts w:ascii="Times New Roman" w:hAnsi="Times New Roman"/>
        </w:rPr>
        <w:t xml:space="preserve">in materia, rappresentato dalla ormai risalente sentenza n. 154 del 1985. </w:t>
      </w:r>
    </w:p>
    <w:p w14:paraId="2F05D8D7" w14:textId="77777777" w:rsidR="00175096" w:rsidRPr="00D25ABF" w:rsidRDefault="00175096" w:rsidP="00D25ABF">
      <w:pPr>
        <w:ind w:firstLine="709"/>
        <w:jc w:val="both"/>
        <w:rPr>
          <w:rFonts w:ascii="Times New Roman" w:hAnsi="Times New Roman"/>
        </w:rPr>
      </w:pPr>
      <w:r w:rsidRPr="00D25ABF">
        <w:rPr>
          <w:rFonts w:ascii="Times New Roman" w:hAnsi="Times New Roman"/>
        </w:rPr>
        <w:t>In essa la Consulta, nonostante i moniti espressi in riferimento ad una disciplina troppo distante dalle garanzie previste  in materia di giurisdizione</w:t>
      </w:r>
      <w:r w:rsidRPr="00D25ABF">
        <w:rPr>
          <w:rStyle w:val="Rimandonotaapidipagina"/>
          <w:rFonts w:ascii="Times New Roman" w:hAnsi="Times New Roman"/>
        </w:rPr>
        <w:footnoteReference w:id="12"/>
      </w:r>
      <w:r w:rsidRPr="00D25ABF">
        <w:rPr>
          <w:rFonts w:ascii="Times New Roman" w:hAnsi="Times New Roman"/>
        </w:rPr>
        <w:t>, aveva  assunto una posizione di ferma difesa dell’autonomia delle Camere, trincerandosi, anche allora, dietro una pronuncia di inammissibilità.</w:t>
      </w:r>
    </w:p>
    <w:p w14:paraId="0E5C799D" w14:textId="77777777" w:rsidR="00175096" w:rsidRPr="00D25ABF" w:rsidRDefault="00175096" w:rsidP="00D25ABF">
      <w:pPr>
        <w:ind w:firstLine="709"/>
        <w:jc w:val="both"/>
        <w:rPr>
          <w:rFonts w:ascii="Times New Roman" w:hAnsi="Times New Roman"/>
        </w:rPr>
      </w:pPr>
      <w:r w:rsidRPr="00D25ABF">
        <w:rPr>
          <w:rFonts w:ascii="Times New Roman" w:hAnsi="Times New Roman"/>
        </w:rPr>
        <w:lastRenderedPageBreak/>
        <w:t>E, tuttavia, se identico il dispositivo,</w:t>
      </w:r>
      <w:r w:rsidR="00D20643">
        <w:rPr>
          <w:rFonts w:ascii="Times New Roman" w:hAnsi="Times New Roman"/>
        </w:rPr>
        <w:t xml:space="preserve"> </w:t>
      </w:r>
      <w:r w:rsidRPr="00D25ABF">
        <w:rPr>
          <w:rFonts w:ascii="Times New Roman" w:hAnsi="Times New Roman"/>
        </w:rPr>
        <w:t>non identico, invece, l’</w:t>
      </w:r>
      <w:r w:rsidRPr="00D25ABF">
        <w:rPr>
          <w:rFonts w:ascii="Times New Roman" w:hAnsi="Times New Roman"/>
          <w:i/>
        </w:rPr>
        <w:t xml:space="preserve">iter </w:t>
      </w:r>
      <w:r w:rsidRPr="00D25ABF">
        <w:rPr>
          <w:rFonts w:ascii="Times New Roman" w:hAnsi="Times New Roman"/>
        </w:rPr>
        <w:t>logico-argomentativo percorso dalla Corte per arrivare a tale conclusione. Un percorso-logico argomentativo che, a differenza della pronuncia ora in esame, non  fu, allora, basato sulla definizione di “forza di legge”</w:t>
      </w:r>
      <w:r w:rsidRPr="00D25ABF">
        <w:rPr>
          <w:rStyle w:val="Rimandonotaapidipagina"/>
          <w:rFonts w:ascii="Times New Roman" w:hAnsi="Times New Roman"/>
        </w:rPr>
        <w:footnoteReference w:id="13"/>
      </w:r>
      <w:r w:rsidRPr="00D25ABF">
        <w:rPr>
          <w:rFonts w:ascii="Times New Roman" w:hAnsi="Times New Roman"/>
        </w:rPr>
        <w:t>, e sulla possibile qualificazione in tal senso dei regolamenti parlamentari</w:t>
      </w:r>
      <w:r w:rsidRPr="00D25ABF">
        <w:rPr>
          <w:rStyle w:val="Rimandonotaapidipagina"/>
          <w:rFonts w:ascii="Times New Roman" w:hAnsi="Times New Roman"/>
        </w:rPr>
        <w:footnoteReference w:id="14"/>
      </w:r>
      <w:r w:rsidRPr="00D25ABF">
        <w:rPr>
          <w:rFonts w:ascii="Times New Roman" w:hAnsi="Times New Roman"/>
        </w:rPr>
        <w:t>. Esso fu, piuttosto,</w:t>
      </w:r>
      <w:r w:rsidR="00D20643">
        <w:rPr>
          <w:rFonts w:ascii="Times New Roman" w:hAnsi="Times New Roman"/>
        </w:rPr>
        <w:t xml:space="preserve"> </w:t>
      </w:r>
      <w:r w:rsidRPr="00D25ABF">
        <w:rPr>
          <w:rFonts w:ascii="Times New Roman" w:hAnsi="Times New Roman"/>
          <w:i/>
        </w:rPr>
        <w:t xml:space="preserve">tautologicamente </w:t>
      </w:r>
      <w:r w:rsidRPr="0001336B">
        <w:rPr>
          <w:rFonts w:ascii="Times New Roman" w:hAnsi="Times New Roman"/>
        </w:rPr>
        <w:t>f</w:t>
      </w:r>
      <w:r w:rsidRPr="00D25ABF">
        <w:rPr>
          <w:rFonts w:ascii="Times New Roman" w:hAnsi="Times New Roman"/>
        </w:rPr>
        <w:t>ondato sulla centralità delle Camere e sulla potestà ad esse riconosciuta di interpretare l’ambito e le modalità di esercizio della loro autonomia. “</w:t>
      </w:r>
      <w:r w:rsidR="00D20643">
        <w:rPr>
          <w:rFonts w:ascii="Times New Roman" w:hAnsi="Times New Roman"/>
        </w:rPr>
        <w:t>I</w:t>
      </w:r>
      <w:r w:rsidRPr="00D25ABF">
        <w:rPr>
          <w:rFonts w:ascii="Times New Roman" w:hAnsi="Times New Roman"/>
        </w:rPr>
        <w:t xml:space="preserve">l Parlamento - concluse  allora in modo un po’ enfatico la Corte -  in quanto espressione immediata della sovranità popolare, è diretto partecipe di tale sovranità, ed i regolamenti, in quanto svolgimento diretto della Costituzione, hanno una ‘peculiarità’ e ‘dimensione’ che ne impedisce la sindacabilità”. E ciò “se non si vuole negare – concluse </w:t>
      </w:r>
      <w:r w:rsidRPr="00D25ABF">
        <w:rPr>
          <w:rFonts w:ascii="Times New Roman" w:hAnsi="Times New Roman"/>
          <w:i/>
        </w:rPr>
        <w:t>tautologicamente</w:t>
      </w:r>
      <w:r w:rsidRPr="00D25ABF">
        <w:rPr>
          <w:rFonts w:ascii="Times New Roman" w:hAnsi="Times New Roman"/>
        </w:rPr>
        <w:t xml:space="preserve"> la Corte </w:t>
      </w:r>
      <w:r w:rsidR="00D20643">
        <w:rPr>
          <w:rFonts w:ascii="Times New Roman" w:hAnsi="Times New Roman"/>
        </w:rPr>
        <w:t>‒</w:t>
      </w:r>
      <w:r w:rsidRPr="00D25ABF">
        <w:rPr>
          <w:rFonts w:ascii="Times New Roman" w:hAnsi="Times New Roman"/>
        </w:rPr>
        <w:t xml:space="preserve"> che la riserva costituzionale di competenza regolamentare rientra fra le guarentigie disposte dalla Costituzione per assicurare l’indipendenza dell’organo sovrano da ogni potere”</w:t>
      </w:r>
      <w:r w:rsidRPr="00D25ABF">
        <w:rPr>
          <w:rStyle w:val="Rimandonotaapidipagina"/>
          <w:rFonts w:ascii="Times New Roman" w:hAnsi="Times New Roman"/>
        </w:rPr>
        <w:footnoteReference w:id="15"/>
      </w:r>
      <w:r w:rsidRPr="00D25ABF">
        <w:rPr>
          <w:rFonts w:ascii="Times New Roman" w:hAnsi="Times New Roman"/>
        </w:rPr>
        <w:t>.</w:t>
      </w:r>
    </w:p>
    <w:p w14:paraId="0CB236C8"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Nella pronuncia in esame, invece, il giudice costituzionale, evitando di fondare il proprio giudizio “su motivazioni storiche o in risalenti tradizioni interpretative”</w:t>
      </w:r>
      <w:r w:rsidRPr="00D25ABF">
        <w:rPr>
          <w:rStyle w:val="Rimandonotaapidipagina"/>
          <w:rFonts w:ascii="Times New Roman" w:hAnsi="Times New Roman"/>
        </w:rPr>
        <w:footnoteReference w:id="16"/>
      </w:r>
      <w:r w:rsidRPr="00D25ABF">
        <w:rPr>
          <w:rFonts w:ascii="Times New Roman" w:hAnsi="Times New Roman"/>
        </w:rPr>
        <w:t>,</w:t>
      </w:r>
      <w:r w:rsidR="00D20643">
        <w:rPr>
          <w:rFonts w:ascii="Times New Roman" w:hAnsi="Times New Roman"/>
        </w:rPr>
        <w:t xml:space="preserve"> </w:t>
      </w:r>
      <w:r w:rsidRPr="00D25ABF">
        <w:rPr>
          <w:rFonts w:ascii="Times New Roman" w:hAnsi="Times New Roman"/>
        </w:rPr>
        <w:t>si è  volutamente astenuto</w:t>
      </w:r>
      <w:r w:rsidR="0001336B">
        <w:rPr>
          <w:rFonts w:ascii="Times New Roman" w:hAnsi="Times New Roman"/>
        </w:rPr>
        <w:t xml:space="preserve"> </w:t>
      </w:r>
      <w:r w:rsidRPr="00D25ABF">
        <w:rPr>
          <w:rFonts w:ascii="Times New Roman" w:hAnsi="Times New Roman"/>
        </w:rPr>
        <w:t>da ogni richiamo o enfatizzazione delle prerogative riconosciute agli organi sovrani, preferendo piuttosto porre  l’accento sulla sola natura dell’atto in discussione e sulla sua assoggettabilità al giudizio di legittimità costituzionale.</w:t>
      </w:r>
    </w:p>
    <w:p w14:paraId="2BEC59B8" w14:textId="77777777" w:rsidR="00175096" w:rsidRPr="00D25ABF" w:rsidRDefault="00175096" w:rsidP="00D25ABF">
      <w:pPr>
        <w:ind w:firstLine="709"/>
        <w:jc w:val="both"/>
        <w:rPr>
          <w:rFonts w:ascii="Times New Roman" w:hAnsi="Times New Roman"/>
          <w:b/>
        </w:rPr>
      </w:pPr>
      <w:r w:rsidRPr="00D25ABF">
        <w:rPr>
          <w:rFonts w:ascii="Times New Roman" w:hAnsi="Times New Roman"/>
        </w:rPr>
        <w:t>Essa ha così evitato</w:t>
      </w:r>
      <w:r w:rsidR="00D20643">
        <w:rPr>
          <w:rFonts w:ascii="Times New Roman" w:hAnsi="Times New Roman"/>
        </w:rPr>
        <w:t xml:space="preserve"> </w:t>
      </w:r>
      <w:r w:rsidRPr="00D25ABF">
        <w:rPr>
          <w:rFonts w:ascii="Times New Roman" w:hAnsi="Times New Roman"/>
        </w:rPr>
        <w:t>– proprio a fronte di</w:t>
      </w:r>
      <w:r w:rsidR="0001336B">
        <w:rPr>
          <w:rFonts w:ascii="Times New Roman" w:hAnsi="Times New Roman"/>
        </w:rPr>
        <w:t xml:space="preserve"> </w:t>
      </w:r>
      <w:r w:rsidRPr="00D25ABF">
        <w:rPr>
          <w:rFonts w:ascii="Times New Roman" w:hAnsi="Times New Roman"/>
        </w:rPr>
        <w:t xml:space="preserve">una </w:t>
      </w:r>
      <w:r w:rsidRPr="00D25ABF">
        <w:rPr>
          <w:rFonts w:ascii="Times New Roman" w:hAnsi="Times New Roman"/>
          <w:i/>
        </w:rPr>
        <w:t>questione</w:t>
      </w:r>
      <w:r w:rsidR="0001336B">
        <w:rPr>
          <w:rFonts w:ascii="Times New Roman" w:hAnsi="Times New Roman"/>
          <w:i/>
        </w:rPr>
        <w:t xml:space="preserve"> </w:t>
      </w:r>
      <w:r w:rsidRPr="00D25ABF">
        <w:rPr>
          <w:rFonts w:ascii="Times New Roman" w:hAnsi="Times New Roman"/>
        </w:rPr>
        <w:t xml:space="preserve">rimasta </w:t>
      </w:r>
      <w:r w:rsidRPr="00D25ABF">
        <w:rPr>
          <w:rFonts w:ascii="Times New Roman" w:hAnsi="Times New Roman"/>
          <w:i/>
        </w:rPr>
        <w:t>controversa</w:t>
      </w:r>
      <w:r w:rsidRPr="00D25ABF">
        <w:rPr>
          <w:rStyle w:val="Rimandonotaapidipagina"/>
          <w:rFonts w:ascii="Times New Roman" w:hAnsi="Times New Roman"/>
        </w:rPr>
        <w:footnoteReference w:id="17"/>
      </w:r>
      <w:r w:rsidR="00D20643">
        <w:rPr>
          <w:rFonts w:ascii="Times New Roman" w:hAnsi="Times New Roman"/>
          <w:i/>
        </w:rPr>
        <w:t xml:space="preserve"> </w:t>
      </w:r>
      <w:r w:rsidR="00D20643">
        <w:rPr>
          <w:rFonts w:ascii="Times New Roman" w:hAnsi="Times New Roman"/>
        </w:rPr>
        <w:t>‒</w:t>
      </w:r>
      <w:r w:rsidRPr="00D25ABF">
        <w:rPr>
          <w:rFonts w:ascii="Times New Roman" w:hAnsi="Times New Roman"/>
        </w:rPr>
        <w:t xml:space="preserve"> di perdersi in argomentazioni tutt’altro che  sicure che avrebbero potuto esporla a  facili critiche e contestazioni.</w:t>
      </w:r>
    </w:p>
    <w:p w14:paraId="253AB120"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E ciò se si tiene soprattutto</w:t>
      </w:r>
      <w:r w:rsidR="0001336B">
        <w:rPr>
          <w:rFonts w:ascii="Times New Roman" w:hAnsi="Times New Roman"/>
        </w:rPr>
        <w:t xml:space="preserve"> </w:t>
      </w:r>
      <w:r w:rsidRPr="00D25ABF">
        <w:rPr>
          <w:rFonts w:ascii="Times New Roman" w:hAnsi="Times New Roman"/>
        </w:rPr>
        <w:t>conto che, sebbene tutt’altro che irrilevanti e  marginali siano state le modifiche apportate alle originarie previsioni regolamentari su impulso, prima, della stessa Corte italiana</w:t>
      </w:r>
      <w:r w:rsidRPr="00D25ABF">
        <w:rPr>
          <w:rStyle w:val="Rimandonotaapidipagina"/>
          <w:rFonts w:ascii="Times New Roman" w:hAnsi="Times New Roman"/>
        </w:rPr>
        <w:footnoteReference w:id="18"/>
      </w:r>
      <w:r w:rsidR="00D20643">
        <w:rPr>
          <w:rFonts w:ascii="Times New Roman" w:hAnsi="Times New Roman"/>
        </w:rPr>
        <w:t xml:space="preserve">, e, poi, </w:t>
      </w:r>
      <w:r w:rsidRPr="00D25ABF">
        <w:rPr>
          <w:rFonts w:ascii="Times New Roman" w:hAnsi="Times New Roman"/>
        </w:rPr>
        <w:t>della Corte EDU nella soluzione  del c.d. caso Savino</w:t>
      </w:r>
      <w:r w:rsidRPr="00D25ABF">
        <w:rPr>
          <w:rStyle w:val="Rimandonotaapidipagina"/>
          <w:rFonts w:ascii="Times New Roman" w:hAnsi="Times New Roman"/>
        </w:rPr>
        <w:footnoteReference w:id="19"/>
      </w:r>
      <w:r w:rsidRPr="00D25ABF">
        <w:rPr>
          <w:rFonts w:ascii="Times New Roman" w:hAnsi="Times New Roman"/>
        </w:rPr>
        <w:t>, l’istituto dell’autodichia rimane a tutt’oggi assai discutibile. Esso, infatti, si è venuto progressivamente ampliando, estendendosi a soggetti  del tutto estranei  alla organizzazione parlamentare,  rendendo</w:t>
      </w:r>
      <w:r w:rsidR="00D20643">
        <w:rPr>
          <w:rFonts w:ascii="Times New Roman" w:hAnsi="Times New Roman"/>
        </w:rPr>
        <w:t xml:space="preserve"> ancora più sottile quel nesso </w:t>
      </w:r>
      <w:r w:rsidRPr="00D25ABF">
        <w:rPr>
          <w:rFonts w:ascii="Times New Roman" w:hAnsi="Times New Roman"/>
        </w:rPr>
        <w:t>tra l’autodichia medesima e le attività istituzionali delle Camere, che ne costituisce, come è noto, il principale, se non l’unico, fondamento</w:t>
      </w:r>
      <w:r w:rsidRPr="00D25ABF">
        <w:rPr>
          <w:rStyle w:val="Rimandonotaapidipagina"/>
          <w:rFonts w:ascii="Times New Roman" w:hAnsi="Times New Roman"/>
        </w:rPr>
        <w:footnoteReference w:id="20"/>
      </w:r>
      <w:r w:rsidRPr="00D25ABF">
        <w:rPr>
          <w:rFonts w:ascii="Times New Roman" w:hAnsi="Times New Roman"/>
        </w:rPr>
        <w:t>.</w:t>
      </w:r>
    </w:p>
    <w:p w14:paraId="57A9E4D3"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Quello che, invece, ha voluto sottolineare la Corte (con indubbia convinzione) è stata la indiscussa insindacabilità dei regolamenti parlamentari, quali fonti normative a competenza  autonoma e riservata e, quindi, in quanto tali, prive di forza di legge. </w:t>
      </w:r>
    </w:p>
    <w:p w14:paraId="2BBC6871" w14:textId="5A3ACAD9" w:rsidR="00175096" w:rsidRPr="00D25ABF" w:rsidRDefault="00175096" w:rsidP="00D25ABF">
      <w:pPr>
        <w:ind w:firstLine="709"/>
        <w:jc w:val="both"/>
        <w:rPr>
          <w:rFonts w:ascii="Times New Roman" w:hAnsi="Times New Roman"/>
        </w:rPr>
      </w:pPr>
      <w:r w:rsidRPr="00D25ABF">
        <w:rPr>
          <w:rFonts w:ascii="Times New Roman" w:hAnsi="Times New Roman"/>
        </w:rPr>
        <w:t xml:space="preserve">    Fonti, tuttavia – ed è questo l’elemento di  maggiore“</w:t>
      </w:r>
      <w:r w:rsidR="00CA46F8">
        <w:rPr>
          <w:rFonts w:ascii="Times New Roman" w:hAnsi="Times New Roman"/>
        </w:rPr>
        <w:t xml:space="preserve"> </w:t>
      </w:r>
      <w:r w:rsidRPr="00D25ABF">
        <w:rPr>
          <w:rFonts w:ascii="Times New Roman" w:hAnsi="Times New Roman"/>
        </w:rPr>
        <w:t>discontinuità” che compare nella sent</w:t>
      </w:r>
      <w:r w:rsidR="00D20643">
        <w:rPr>
          <w:rFonts w:ascii="Times New Roman" w:hAnsi="Times New Roman"/>
        </w:rPr>
        <w:t xml:space="preserve">enza della Consulta – le quali </w:t>
      </w:r>
      <w:r w:rsidRPr="00D25ABF">
        <w:rPr>
          <w:rFonts w:ascii="Times New Roman" w:hAnsi="Times New Roman"/>
        </w:rPr>
        <w:t xml:space="preserve">non per questo si devono ritenere appartenenti ad un ordinamento </w:t>
      </w:r>
      <w:r w:rsidRPr="00D25ABF">
        <w:rPr>
          <w:rFonts w:ascii="Times New Roman" w:hAnsi="Times New Roman"/>
        </w:rPr>
        <w:lastRenderedPageBreak/>
        <w:t>separato, ma piuttosto parti dell’ordinamento generale. Come tali, “produttive di norme sottoposte agli ordinari canoni interpretativi alla luce dei principi e delle disposizioni costituzionali, che ne delimitino la sfera di competenza”</w:t>
      </w:r>
      <w:r w:rsidRPr="00D25ABF">
        <w:rPr>
          <w:rStyle w:val="Rimandonotaapidipagina"/>
          <w:rFonts w:ascii="Times New Roman" w:hAnsi="Times New Roman"/>
        </w:rPr>
        <w:footnoteReference w:id="21"/>
      </w:r>
      <w:r w:rsidRPr="00D25ABF">
        <w:rPr>
          <w:rFonts w:ascii="Times New Roman" w:hAnsi="Times New Roman"/>
        </w:rPr>
        <w:t>.</w:t>
      </w:r>
    </w:p>
    <w:p w14:paraId="75FF7F34" w14:textId="77777777" w:rsidR="00175096" w:rsidRPr="00D25ABF" w:rsidRDefault="00175096" w:rsidP="00D25ABF">
      <w:pPr>
        <w:ind w:firstLine="709"/>
        <w:jc w:val="both"/>
        <w:rPr>
          <w:rFonts w:ascii="Times New Roman" w:hAnsi="Times New Roman"/>
        </w:rPr>
      </w:pPr>
      <w:r w:rsidRPr="00D25ABF">
        <w:rPr>
          <w:rFonts w:ascii="Times New Roman" w:hAnsi="Times New Roman"/>
        </w:rPr>
        <w:t>Una affermazione, questa, che se allinea definitivamente la Corte alle posizioni espresse da tempo dalla più autorevole dottrina</w:t>
      </w:r>
      <w:r w:rsidRPr="00D25ABF">
        <w:rPr>
          <w:rStyle w:val="Rimandonotaapidipagina"/>
          <w:rFonts w:ascii="Times New Roman" w:hAnsi="Times New Roman"/>
        </w:rPr>
        <w:footnoteReference w:id="22"/>
      </w:r>
      <w:r w:rsidRPr="00D25ABF">
        <w:rPr>
          <w:rFonts w:ascii="Times New Roman" w:hAnsi="Times New Roman"/>
        </w:rPr>
        <w:t>,ha consentito, sempre alla Corte,  dischiudere nuovi ed importanti scenari,  che fanno di tale sentenza, come da molti</w:t>
      </w:r>
      <w:r w:rsidR="0001336B">
        <w:rPr>
          <w:rFonts w:ascii="Times New Roman" w:hAnsi="Times New Roman"/>
        </w:rPr>
        <w:t xml:space="preserve"> </w:t>
      </w:r>
      <w:r w:rsidRPr="00D25ABF">
        <w:rPr>
          <w:rFonts w:ascii="Times New Roman" w:hAnsi="Times New Roman"/>
        </w:rPr>
        <w:t>sottolineato</w:t>
      </w:r>
      <w:r w:rsidRPr="00D25ABF">
        <w:rPr>
          <w:rStyle w:val="Rimandonotaapidipagina"/>
          <w:rFonts w:ascii="Times New Roman" w:hAnsi="Times New Roman"/>
        </w:rPr>
        <w:footnoteReference w:id="23"/>
      </w:r>
      <w:r w:rsidRPr="00D25ABF">
        <w:rPr>
          <w:rFonts w:ascii="Times New Roman" w:hAnsi="Times New Roman"/>
        </w:rPr>
        <w:t>,  una tappa significativa nel cammino intrapreso per la delimitazione di quello che</w:t>
      </w:r>
      <w:r w:rsidR="0001336B">
        <w:rPr>
          <w:rFonts w:ascii="Times New Roman" w:hAnsi="Times New Roman"/>
        </w:rPr>
        <w:t xml:space="preserve"> </w:t>
      </w:r>
      <w:r w:rsidRPr="00D25ABF">
        <w:rPr>
          <w:rFonts w:ascii="Times New Roman" w:hAnsi="Times New Roman"/>
        </w:rPr>
        <w:t>essa stessa ha definito lo “statuto di garanzia delle Assemblee parlamentari”</w:t>
      </w:r>
      <w:r w:rsidRPr="00D25ABF">
        <w:rPr>
          <w:rStyle w:val="Rimandonotaapidipagina"/>
          <w:rFonts w:ascii="Times New Roman" w:hAnsi="Times New Roman"/>
        </w:rPr>
        <w:footnoteReference w:id="24"/>
      </w:r>
      <w:r w:rsidRPr="00D25ABF">
        <w:rPr>
          <w:rFonts w:ascii="Times New Roman" w:hAnsi="Times New Roman"/>
        </w:rPr>
        <w:t>.</w:t>
      </w:r>
    </w:p>
    <w:p w14:paraId="65BFEB05" w14:textId="77777777" w:rsidR="00175096" w:rsidRDefault="00175096" w:rsidP="00D25ABF">
      <w:pPr>
        <w:ind w:firstLine="709"/>
        <w:jc w:val="both"/>
        <w:rPr>
          <w:rFonts w:ascii="Times New Roman" w:hAnsi="Times New Roman"/>
        </w:rPr>
      </w:pPr>
    </w:p>
    <w:p w14:paraId="0EA805D9" w14:textId="77777777" w:rsidR="00DE5BA5" w:rsidRPr="00D25ABF" w:rsidRDefault="00DE5BA5" w:rsidP="00D25ABF">
      <w:pPr>
        <w:ind w:firstLine="709"/>
        <w:jc w:val="both"/>
        <w:rPr>
          <w:rFonts w:ascii="Times New Roman" w:hAnsi="Times New Roman"/>
        </w:rPr>
      </w:pPr>
    </w:p>
    <w:p w14:paraId="5EF4FFF1" w14:textId="77777777" w:rsidR="00175096" w:rsidRPr="00D25ABF" w:rsidRDefault="00175096" w:rsidP="00D25ABF">
      <w:pPr>
        <w:ind w:firstLine="709"/>
        <w:jc w:val="both"/>
        <w:rPr>
          <w:rFonts w:ascii="Times New Roman" w:hAnsi="Times New Roman"/>
        </w:rPr>
      </w:pPr>
      <w:r w:rsidRPr="00D25ABF">
        <w:rPr>
          <w:rFonts w:ascii="Times New Roman" w:hAnsi="Times New Roman"/>
        </w:rPr>
        <w:t>2.</w:t>
      </w:r>
      <w:r w:rsidR="0001336B">
        <w:rPr>
          <w:rFonts w:ascii="Times New Roman" w:hAnsi="Times New Roman"/>
        </w:rPr>
        <w:t xml:space="preserve"> </w:t>
      </w:r>
      <w:r w:rsidRPr="00D25ABF">
        <w:rPr>
          <w:rFonts w:ascii="Times New Roman" w:hAnsi="Times New Roman"/>
          <w:i/>
        </w:rPr>
        <w:t>La linea di demarcazione tracciata dalla Corte costituzionale tra autonomia regolamentare del Parlamento e legalità costituzionale</w:t>
      </w:r>
    </w:p>
    <w:p w14:paraId="780B9D89" w14:textId="77777777" w:rsidR="00175096" w:rsidRPr="00D25ABF" w:rsidRDefault="00175096" w:rsidP="00D25ABF">
      <w:pPr>
        <w:ind w:firstLine="709"/>
        <w:jc w:val="both"/>
        <w:rPr>
          <w:rFonts w:ascii="Times New Roman" w:hAnsi="Times New Roman"/>
        </w:rPr>
      </w:pPr>
    </w:p>
    <w:p w14:paraId="70A77A91" w14:textId="77777777" w:rsidR="00175096" w:rsidRPr="00D25ABF" w:rsidRDefault="00175096" w:rsidP="00D25ABF">
      <w:pPr>
        <w:ind w:firstLine="709"/>
        <w:jc w:val="both"/>
        <w:rPr>
          <w:rFonts w:ascii="Times New Roman" w:hAnsi="Times New Roman"/>
        </w:rPr>
      </w:pPr>
      <w:r w:rsidRPr="00D25ABF">
        <w:rPr>
          <w:rFonts w:ascii="Times New Roman" w:hAnsi="Times New Roman"/>
        </w:rPr>
        <w:t>L’aver ascritto i regolamenti parlamentari  tra le fonti</w:t>
      </w:r>
      <w:r w:rsidR="0001336B">
        <w:rPr>
          <w:rFonts w:ascii="Times New Roman" w:hAnsi="Times New Roman"/>
        </w:rPr>
        <w:t xml:space="preserve"> </w:t>
      </w:r>
      <w:r w:rsidRPr="00D25ABF">
        <w:rPr>
          <w:rFonts w:ascii="Times New Roman" w:hAnsi="Times New Roman"/>
        </w:rPr>
        <w:t>dell’ordinamento generale costituisce, dunque, il passaggio più significativo della pronuncia in esame.</w:t>
      </w:r>
    </w:p>
    <w:p w14:paraId="6415F8CC"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Ciò, infatti, non solo ha permesso al giudice costituzionale di archiviare definitivamente l’antica teoria degli </w:t>
      </w:r>
      <w:r w:rsidRPr="00D25ABF">
        <w:rPr>
          <w:rFonts w:ascii="Times New Roman" w:hAnsi="Times New Roman"/>
          <w:i/>
        </w:rPr>
        <w:t xml:space="preserve">interna </w:t>
      </w:r>
      <w:proofErr w:type="spellStart"/>
      <w:r w:rsidRPr="00D25ABF">
        <w:rPr>
          <w:rFonts w:ascii="Times New Roman" w:hAnsi="Times New Roman"/>
          <w:i/>
        </w:rPr>
        <w:t>corporis</w:t>
      </w:r>
      <w:proofErr w:type="spellEnd"/>
      <w:r w:rsidRPr="00D25ABF">
        <w:rPr>
          <w:rFonts w:ascii="Times New Roman" w:hAnsi="Times New Roman"/>
        </w:rPr>
        <w:t>,</w:t>
      </w:r>
      <w:r w:rsidR="0001336B">
        <w:rPr>
          <w:rFonts w:ascii="Times New Roman" w:hAnsi="Times New Roman"/>
        </w:rPr>
        <w:t xml:space="preserve"> </w:t>
      </w:r>
      <w:r w:rsidRPr="00D25ABF">
        <w:rPr>
          <w:rFonts w:ascii="Times New Roman" w:hAnsi="Times New Roman"/>
        </w:rPr>
        <w:t>ma</w:t>
      </w:r>
      <w:r w:rsidR="0001336B">
        <w:rPr>
          <w:rFonts w:ascii="Times New Roman" w:hAnsi="Times New Roman"/>
        </w:rPr>
        <w:t xml:space="preserve"> </w:t>
      </w:r>
      <w:r w:rsidRPr="00D25ABF">
        <w:rPr>
          <w:rFonts w:ascii="Times New Roman" w:hAnsi="Times New Roman"/>
        </w:rPr>
        <w:t>gli ha</w:t>
      </w:r>
      <w:r w:rsidR="0001336B">
        <w:rPr>
          <w:rFonts w:ascii="Times New Roman" w:hAnsi="Times New Roman"/>
        </w:rPr>
        <w:t xml:space="preserve"> </w:t>
      </w:r>
      <w:r w:rsidRPr="00D25ABF">
        <w:rPr>
          <w:rFonts w:ascii="Times New Roman" w:hAnsi="Times New Roman"/>
        </w:rPr>
        <w:t>anche consentito di precisare, con una chiarezza  certo maggiore di quanto già avesse fatto in passato</w:t>
      </w:r>
      <w:r w:rsidRPr="00D25ABF">
        <w:rPr>
          <w:rStyle w:val="Rimandonotaapidipagina"/>
          <w:rFonts w:ascii="Times New Roman" w:hAnsi="Times New Roman"/>
        </w:rPr>
        <w:footnoteReference w:id="25"/>
      </w:r>
      <w:r w:rsidRPr="00D25ABF">
        <w:rPr>
          <w:rFonts w:ascii="Times New Roman" w:hAnsi="Times New Roman"/>
        </w:rPr>
        <w:t>, il sottile confine fra la loro proclamata autonomia ed il doveroso rispetto di quella  legalità costituzionale, alla quale  sono indistintamente tenute tutte le norme che di tale ordinamento sono parte.</w:t>
      </w:r>
    </w:p>
    <w:p w14:paraId="39F68825"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La linea lungo la quale si spiega tale confine non è certo mutata. </w:t>
      </w:r>
    </w:p>
    <w:p w14:paraId="41D1CBB5" w14:textId="77777777" w:rsidR="00175096" w:rsidRPr="00D25ABF" w:rsidRDefault="00175096" w:rsidP="00D25ABF">
      <w:pPr>
        <w:ind w:firstLine="709"/>
        <w:jc w:val="both"/>
        <w:rPr>
          <w:rFonts w:ascii="Times New Roman" w:hAnsi="Times New Roman"/>
        </w:rPr>
      </w:pPr>
      <w:r w:rsidRPr="00D25ABF">
        <w:rPr>
          <w:rFonts w:ascii="Times New Roman" w:hAnsi="Times New Roman"/>
        </w:rPr>
        <w:t>Essa rimane</w:t>
      </w:r>
      <w:r w:rsidR="0001336B">
        <w:rPr>
          <w:rFonts w:ascii="Times New Roman" w:hAnsi="Times New Roman"/>
        </w:rPr>
        <w:t xml:space="preserve"> </w:t>
      </w:r>
      <w:r w:rsidRPr="00D25ABF">
        <w:rPr>
          <w:rFonts w:ascii="Times New Roman" w:hAnsi="Times New Roman"/>
        </w:rPr>
        <w:t xml:space="preserve">contrassegnata - come la Corte ha a suo tempo affermato </w:t>
      </w:r>
      <w:r w:rsidRPr="00D25ABF">
        <w:rPr>
          <w:rStyle w:val="Rimandonotaapidipagina"/>
          <w:rFonts w:ascii="Times New Roman" w:hAnsi="Times New Roman"/>
        </w:rPr>
        <w:footnoteReference w:id="26"/>
      </w:r>
      <w:r w:rsidRPr="00D25ABF">
        <w:rPr>
          <w:rFonts w:ascii="Times New Roman" w:hAnsi="Times New Roman"/>
        </w:rPr>
        <w:t xml:space="preserve">e come oggi ha  puntualmente ribadito </w:t>
      </w:r>
      <w:r w:rsidRPr="00D25ABF">
        <w:rPr>
          <w:rFonts w:ascii="Times New Roman" w:hAnsi="Times New Roman"/>
          <w:b/>
        </w:rPr>
        <w:t>-</w:t>
      </w:r>
      <w:r w:rsidRPr="00D25ABF">
        <w:rPr>
          <w:rFonts w:ascii="Times New Roman" w:hAnsi="Times New Roman"/>
        </w:rPr>
        <w:t>dalla esistenza di un  nesso funzionale</w:t>
      </w:r>
      <w:r w:rsidR="0001336B">
        <w:rPr>
          <w:rFonts w:ascii="Times New Roman" w:hAnsi="Times New Roman"/>
        </w:rPr>
        <w:t xml:space="preserve"> </w:t>
      </w:r>
      <w:r w:rsidRPr="00D25ABF">
        <w:rPr>
          <w:rFonts w:ascii="Times New Roman" w:hAnsi="Times New Roman"/>
        </w:rPr>
        <w:t>tra  atti  e rapporti che ricadono nella disciplina parlamentare e l’esercizio di competenze primarie delle Camere.</w:t>
      </w:r>
    </w:p>
    <w:p w14:paraId="2880B78C"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Solo là dove tale nesso esista si espande a pieno titolo l’ autonomia dei regolamenti parlamentari, la quale è, in questo </w:t>
      </w:r>
      <w:proofErr w:type="spellStart"/>
      <w:r w:rsidRPr="00D25ABF">
        <w:rPr>
          <w:rFonts w:ascii="Times New Roman" w:hAnsi="Times New Roman"/>
        </w:rPr>
        <w:t>caso,la</w:t>
      </w:r>
      <w:proofErr w:type="spellEnd"/>
      <w:r w:rsidRPr="00D25ABF">
        <w:rPr>
          <w:rFonts w:ascii="Times New Roman" w:hAnsi="Times New Roman"/>
        </w:rPr>
        <w:t xml:space="preserve"> più ampia e completa. E, cioè </w:t>
      </w:r>
      <w:r w:rsidR="00DE5BA5">
        <w:rPr>
          <w:rFonts w:ascii="Times New Roman" w:hAnsi="Times New Roman"/>
        </w:rPr>
        <w:t>‒</w:t>
      </w:r>
      <w:r w:rsidRPr="00D25ABF">
        <w:rPr>
          <w:rFonts w:ascii="Times New Roman" w:hAnsi="Times New Roman"/>
        </w:rPr>
        <w:t xml:space="preserve"> ha ancora sottolineato  il giudice costituzionale </w:t>
      </w:r>
      <w:r w:rsidR="00DE5BA5">
        <w:rPr>
          <w:rFonts w:ascii="Times New Roman" w:hAnsi="Times New Roman"/>
        </w:rPr>
        <w:t>‒</w:t>
      </w:r>
      <w:r w:rsidRPr="00D25ABF">
        <w:rPr>
          <w:rFonts w:ascii="Times New Roman" w:hAnsi="Times New Roman"/>
        </w:rPr>
        <w:t xml:space="preserve"> “essa comprende sia il momento relativo alla produzione delle norme regolamentari, sia quello più propriamente applicativo delle medesime”</w:t>
      </w:r>
    </w:p>
    <w:p w14:paraId="6D0E32B3" w14:textId="77777777" w:rsidR="00175096" w:rsidRPr="00D25ABF" w:rsidRDefault="00175096" w:rsidP="00D25ABF">
      <w:pPr>
        <w:ind w:firstLine="709"/>
        <w:jc w:val="both"/>
        <w:rPr>
          <w:rFonts w:ascii="Times New Roman" w:hAnsi="Times New Roman"/>
        </w:rPr>
      </w:pPr>
      <w:r w:rsidRPr="00D25ABF">
        <w:rPr>
          <w:rFonts w:ascii="Times New Roman" w:hAnsi="Times New Roman"/>
        </w:rPr>
        <w:lastRenderedPageBreak/>
        <w:t xml:space="preserve">Dove, invece, tale nesso venga  meno - ha concluso la Corte </w:t>
      </w:r>
      <w:r w:rsidR="00DE5BA5">
        <w:rPr>
          <w:rFonts w:ascii="Times New Roman" w:hAnsi="Times New Roman"/>
        </w:rPr>
        <w:t xml:space="preserve">‒ </w:t>
      </w:r>
      <w:r w:rsidRPr="00D25ABF">
        <w:rPr>
          <w:rFonts w:ascii="Times New Roman" w:hAnsi="Times New Roman"/>
        </w:rPr>
        <w:t xml:space="preserve">si </w:t>
      </w:r>
      <w:proofErr w:type="spellStart"/>
      <w:r w:rsidRPr="00D25ABF">
        <w:rPr>
          <w:rFonts w:ascii="Times New Roman" w:hAnsi="Times New Roman"/>
        </w:rPr>
        <w:t>riespande</w:t>
      </w:r>
      <w:proofErr w:type="spellEnd"/>
      <w:r w:rsidRPr="00D25ABF">
        <w:rPr>
          <w:rFonts w:ascii="Times New Roman" w:hAnsi="Times New Roman"/>
        </w:rPr>
        <w:t xml:space="preserve"> il principio di legalità costituzionale e, con esso, l’inderogabile  tutela di quei  principi e valori</w:t>
      </w:r>
      <w:r w:rsidR="00DE5BA5">
        <w:rPr>
          <w:rFonts w:ascii="Times New Roman" w:hAnsi="Times New Roman"/>
        </w:rPr>
        <w:t xml:space="preserve"> ‒</w:t>
      </w:r>
      <w:r w:rsidRPr="00D25ABF">
        <w:rPr>
          <w:rFonts w:ascii="Times New Roman" w:hAnsi="Times New Roman"/>
        </w:rPr>
        <w:t xml:space="preserve"> fra cui segnatamente l’accesso alla giustizia e la tutela di diritti e interessi - affidata all’attività degli organi giurisdizionali</w:t>
      </w:r>
      <w:r w:rsidRPr="00D25ABF">
        <w:rPr>
          <w:rStyle w:val="Rimandonotaapidipagina"/>
          <w:rFonts w:ascii="Times New Roman" w:hAnsi="Times New Roman"/>
        </w:rPr>
        <w:footnoteReference w:id="27"/>
      </w:r>
      <w:r w:rsidRPr="00D25ABF">
        <w:rPr>
          <w:rFonts w:ascii="Times New Roman" w:hAnsi="Times New Roman"/>
        </w:rPr>
        <w:t>.</w:t>
      </w:r>
    </w:p>
    <w:p w14:paraId="54BBE9BF"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Il controllo di questo limite e del rispetto delle relative competenze resta assegnato al giudice costituzionale il quale, a partire dalla storica sentenza 1150 del 1988, si è attribuita</w:t>
      </w:r>
      <w:r w:rsidR="0001336B">
        <w:rPr>
          <w:rFonts w:ascii="Times New Roman" w:hAnsi="Times New Roman"/>
        </w:rPr>
        <w:t xml:space="preserve"> </w:t>
      </w:r>
      <w:r w:rsidRPr="00D25ABF">
        <w:rPr>
          <w:rFonts w:ascii="Times New Roman" w:hAnsi="Times New Roman"/>
        </w:rPr>
        <w:t>il compito di vigilare, attraverso lo strumento del conflitto di attribuzioni, sulla</w:t>
      </w:r>
      <w:r w:rsidR="0001336B">
        <w:rPr>
          <w:rFonts w:ascii="Times New Roman" w:hAnsi="Times New Roman"/>
        </w:rPr>
        <w:t xml:space="preserve"> </w:t>
      </w:r>
      <w:r w:rsidRPr="00D25ABF">
        <w:rPr>
          <w:rFonts w:ascii="Times New Roman" w:hAnsi="Times New Roman"/>
        </w:rPr>
        <w:t>tenuta  di detto limite e sulla non violazione della sottile linea di demarcazione che lo percorre dall’inizio alla fine.</w:t>
      </w:r>
    </w:p>
    <w:p w14:paraId="480333CE"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E’ questa la posizione che, come è noto,  ha  caratterizzato la giurisprudenza della Corte, prima, per quanto attiene all’immunità prevista ex art. 68 </w:t>
      </w:r>
      <w:proofErr w:type="spellStart"/>
      <w:r w:rsidRPr="00D25ABF">
        <w:rPr>
          <w:rFonts w:ascii="Times New Roman" w:hAnsi="Times New Roman"/>
        </w:rPr>
        <w:t>Cost</w:t>
      </w:r>
      <w:proofErr w:type="spellEnd"/>
      <w:r w:rsidRPr="00D25ABF">
        <w:rPr>
          <w:rFonts w:ascii="Times New Roman" w:hAnsi="Times New Roman"/>
        </w:rPr>
        <w:t>., poi,  per quanto attiene ad atti e comportamenti posti in essere dai parlamentari all’interno delle Camere</w:t>
      </w:r>
      <w:r w:rsidRPr="00D25ABF">
        <w:rPr>
          <w:rStyle w:val="Rimandonotaapidipagina"/>
          <w:rFonts w:ascii="Times New Roman" w:hAnsi="Times New Roman"/>
        </w:rPr>
        <w:footnoteReference w:id="28"/>
      </w:r>
      <w:r w:rsidRPr="00D25ABF">
        <w:rPr>
          <w:rFonts w:ascii="Times New Roman" w:hAnsi="Times New Roman"/>
        </w:rPr>
        <w:t>, ed ora, sempre immutata, essa viene  richiamata per l’autodichia</w:t>
      </w:r>
      <w:r w:rsidRPr="00D25ABF">
        <w:rPr>
          <w:rStyle w:val="Rimandonotaapidipagina"/>
          <w:rFonts w:ascii="Times New Roman" w:hAnsi="Times New Roman"/>
        </w:rPr>
        <w:footnoteReference w:id="29"/>
      </w:r>
      <w:r w:rsidRPr="00D25ABF">
        <w:rPr>
          <w:rFonts w:ascii="Times New Roman" w:hAnsi="Times New Roman"/>
        </w:rPr>
        <w:t>.</w:t>
      </w:r>
    </w:p>
    <w:p w14:paraId="3DE7437F"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E, tuttavia, dicevamo, nonostante  la  “continuità” che contraddistingue questo indirizzo, proprio il chiaro riferimento ai regolamenti parlamentari quali fonti dell’ordinamento generale, rende ancora più stringente l’impegno assunto dal giudice costituzionale; chiamato ora</w:t>
      </w:r>
      <w:r w:rsidR="0001336B">
        <w:rPr>
          <w:rFonts w:ascii="Times New Roman" w:hAnsi="Times New Roman"/>
        </w:rPr>
        <w:t xml:space="preserve"> </w:t>
      </w:r>
      <w:r w:rsidRPr="00D25ABF">
        <w:rPr>
          <w:rFonts w:ascii="Times New Roman" w:hAnsi="Times New Roman"/>
        </w:rPr>
        <w:t xml:space="preserve">all’esercizio di un controllo che non può evidentemente tollerare deroghe che non appaiano pienamente giustificate. Pena  la  contraddittoria violazione, proprio da parte dell’organo di giustizia costituzionale, di quei principi e quei valori che sono stati posti  a fondamento della sua stessa esistenza e del suo operato.  </w:t>
      </w:r>
    </w:p>
    <w:p w14:paraId="6C153AEC"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Quali, dunque, i possibili sviluppi di questa “svolta” che, per la prima volta, consegna alla Corte, proprio attraverso lo strumento del conflitto, la possibilità di verificare e sindacare il legittimo esercizio delle competenze assegnate alle Camere in materia di autodichia.</w:t>
      </w:r>
    </w:p>
    <w:p w14:paraId="05825D22" w14:textId="77777777" w:rsidR="00175096" w:rsidRPr="00D25ABF" w:rsidRDefault="00175096" w:rsidP="00D25ABF">
      <w:pPr>
        <w:ind w:firstLine="709"/>
        <w:jc w:val="both"/>
        <w:rPr>
          <w:rFonts w:ascii="Times New Roman" w:hAnsi="Times New Roman"/>
        </w:rPr>
      </w:pPr>
      <w:r w:rsidRPr="00D25ABF">
        <w:rPr>
          <w:rFonts w:ascii="Times New Roman" w:hAnsi="Times New Roman"/>
        </w:rPr>
        <w:t>Nonostante i dubbi e le perplessità espresse dal giudice costituzionale, punto di partenza potrebbe essere, paradossalmente, proprio la riconferma della giurisdizione domestica riconosciuta all’autonomia delle Camere.</w:t>
      </w:r>
    </w:p>
    <w:p w14:paraId="753B9C51" w14:textId="77777777" w:rsidR="00175096" w:rsidRPr="00D25ABF" w:rsidRDefault="00175096" w:rsidP="00D25ABF">
      <w:pPr>
        <w:ind w:firstLine="709"/>
        <w:jc w:val="both"/>
        <w:rPr>
          <w:rFonts w:ascii="Times New Roman" w:hAnsi="Times New Roman"/>
        </w:rPr>
      </w:pPr>
      <w:r w:rsidRPr="00D25ABF">
        <w:rPr>
          <w:rFonts w:ascii="Times New Roman" w:hAnsi="Times New Roman"/>
        </w:rPr>
        <w:t>Malgrado, infatti, l’esplicito richiamo fatto dalla Corte ad ordinamenti a noi vicini dove tale prerogativa non è riconosciuta,</w:t>
      </w:r>
      <w:r w:rsidR="00DE5BA5">
        <w:rPr>
          <w:rFonts w:ascii="Times New Roman" w:hAnsi="Times New Roman"/>
        </w:rPr>
        <w:t xml:space="preserve"> chi ha </w:t>
      </w:r>
      <w:r w:rsidRPr="00D25ABF">
        <w:rPr>
          <w:rFonts w:ascii="Times New Roman" w:hAnsi="Times New Roman"/>
        </w:rPr>
        <w:t>cercato di fare un qualche pronostico ha ritenuto del tutto improbabili future decisioni in senso contrario</w:t>
      </w:r>
      <w:r w:rsidRPr="00D25ABF">
        <w:rPr>
          <w:rStyle w:val="Rimandonotaapidipagina"/>
          <w:rFonts w:ascii="Times New Roman" w:hAnsi="Times New Roman"/>
        </w:rPr>
        <w:footnoteReference w:id="30"/>
      </w:r>
      <w:r w:rsidRPr="00D25ABF">
        <w:rPr>
          <w:rFonts w:ascii="Times New Roman" w:hAnsi="Times New Roman"/>
        </w:rPr>
        <w:t>.</w:t>
      </w:r>
    </w:p>
    <w:p w14:paraId="0AE8CDC2"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Molti, in vero, gli elementi che potrebbero militare in tal senso.</w:t>
      </w:r>
    </w:p>
    <w:p w14:paraId="202A488C"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In primo luogo, il fatto che la posizione del giudice costituzionale poggerebbe  le sue radici  proprio in virtù della legittimazione ad esso fornita dalla stessa Corte </w:t>
      </w:r>
      <w:proofErr w:type="spellStart"/>
      <w:r w:rsidRPr="00D25ABF">
        <w:rPr>
          <w:rFonts w:ascii="Times New Roman" w:hAnsi="Times New Roman"/>
        </w:rPr>
        <w:t>Edu</w:t>
      </w:r>
      <w:proofErr w:type="spellEnd"/>
      <w:r w:rsidR="0001336B">
        <w:rPr>
          <w:rFonts w:ascii="Times New Roman" w:hAnsi="Times New Roman"/>
        </w:rPr>
        <w:t xml:space="preserve"> </w:t>
      </w:r>
      <w:r w:rsidRPr="00D25ABF">
        <w:rPr>
          <w:rFonts w:ascii="Times New Roman" w:hAnsi="Times New Roman"/>
        </w:rPr>
        <w:t>nella già citata sentenza relativa al caso</w:t>
      </w:r>
      <w:r w:rsidR="0001336B">
        <w:rPr>
          <w:rFonts w:ascii="Times New Roman" w:hAnsi="Times New Roman"/>
        </w:rPr>
        <w:t xml:space="preserve"> </w:t>
      </w:r>
      <w:r w:rsidRPr="00D25ABF">
        <w:rPr>
          <w:rFonts w:ascii="Times New Roman" w:hAnsi="Times New Roman"/>
        </w:rPr>
        <w:t xml:space="preserve">Savino. </w:t>
      </w:r>
    </w:p>
    <w:p w14:paraId="112DD7C3" w14:textId="57F7D888" w:rsidR="00175096" w:rsidRPr="00D25ABF" w:rsidRDefault="00175096" w:rsidP="00D25ABF">
      <w:pPr>
        <w:ind w:firstLine="709"/>
        <w:jc w:val="both"/>
        <w:rPr>
          <w:rFonts w:ascii="Times New Roman" w:hAnsi="Times New Roman"/>
        </w:rPr>
      </w:pPr>
      <w:r w:rsidRPr="00D25ABF">
        <w:rPr>
          <w:rFonts w:ascii="Times New Roman" w:hAnsi="Times New Roman"/>
        </w:rPr>
        <w:t xml:space="preserve">   In essa, infatti, il giudice di Strasburgo,</w:t>
      </w:r>
      <w:r w:rsidR="00CA46F8">
        <w:rPr>
          <w:rFonts w:ascii="Times New Roman" w:hAnsi="Times New Roman"/>
        </w:rPr>
        <w:t xml:space="preserve"> </w:t>
      </w:r>
      <w:r w:rsidRPr="00D25ABF">
        <w:rPr>
          <w:rFonts w:ascii="Times New Roman" w:hAnsi="Times New Roman"/>
        </w:rPr>
        <w:t>ben lontano dal condannare</w:t>
      </w:r>
      <w:r w:rsidR="0001336B">
        <w:rPr>
          <w:rFonts w:ascii="Times New Roman" w:hAnsi="Times New Roman"/>
        </w:rPr>
        <w:t xml:space="preserve"> </w:t>
      </w:r>
      <w:r w:rsidRPr="00D25ABF">
        <w:rPr>
          <w:rFonts w:ascii="Times New Roman" w:hAnsi="Times New Roman"/>
        </w:rPr>
        <w:t>l’istituto dell’autodichia in sé considerato, contestò piuttosto</w:t>
      </w:r>
      <w:r w:rsidR="0001336B">
        <w:rPr>
          <w:rFonts w:ascii="Times New Roman" w:hAnsi="Times New Roman"/>
        </w:rPr>
        <w:t xml:space="preserve"> </w:t>
      </w:r>
      <w:r w:rsidRPr="00D25ABF">
        <w:rPr>
          <w:rFonts w:ascii="Times New Roman" w:hAnsi="Times New Roman"/>
        </w:rPr>
        <w:t>la mancanza del requisito dell’imparzialità degli organi interni, facendo difetto, in base alle norme regolamentari allora vigenti,  un meccanismo procedurale che assegnava all’autorità</w:t>
      </w:r>
      <w:r w:rsidR="0001336B">
        <w:rPr>
          <w:rFonts w:ascii="Times New Roman" w:hAnsi="Times New Roman"/>
        </w:rPr>
        <w:t xml:space="preserve"> </w:t>
      </w:r>
      <w:r w:rsidRPr="00D25ABF">
        <w:rPr>
          <w:rFonts w:ascii="Times New Roman" w:hAnsi="Times New Roman"/>
        </w:rPr>
        <w:t>decidente anche il potere di emettere il provvedimento amministrativo contestato, oltre che di giudicare, in secondo grado,</w:t>
      </w:r>
      <w:r w:rsidR="00DE5BA5">
        <w:rPr>
          <w:rFonts w:ascii="Times New Roman" w:hAnsi="Times New Roman"/>
        </w:rPr>
        <w:t xml:space="preserve"> </w:t>
      </w:r>
      <w:r w:rsidRPr="00D25ABF">
        <w:rPr>
          <w:rFonts w:ascii="Times New Roman" w:hAnsi="Times New Roman"/>
        </w:rPr>
        <w:t>della sua stessa condotta</w:t>
      </w:r>
      <w:r w:rsidRPr="00D25ABF">
        <w:rPr>
          <w:rStyle w:val="Rimandonotaapidipagina"/>
          <w:rFonts w:ascii="Times New Roman" w:hAnsi="Times New Roman"/>
        </w:rPr>
        <w:footnoteReference w:id="31"/>
      </w:r>
      <w:r w:rsidRPr="00D25ABF">
        <w:rPr>
          <w:rFonts w:ascii="Times New Roman" w:hAnsi="Times New Roman"/>
        </w:rPr>
        <w:t>.</w:t>
      </w:r>
    </w:p>
    <w:p w14:paraId="26BB1075" w14:textId="77777777" w:rsidR="00175096" w:rsidRPr="00D25ABF" w:rsidRDefault="00175096" w:rsidP="00D25ABF">
      <w:pPr>
        <w:ind w:firstLine="709"/>
        <w:jc w:val="both"/>
        <w:rPr>
          <w:rFonts w:ascii="Times New Roman" w:hAnsi="Times New Roman"/>
        </w:rPr>
      </w:pPr>
      <w:proofErr w:type="spellStart"/>
      <w:r w:rsidRPr="00D25ABF">
        <w:rPr>
          <w:rFonts w:ascii="Times New Roman" w:hAnsi="Times New Roman"/>
        </w:rPr>
        <w:t>Nè</w:t>
      </w:r>
      <w:proofErr w:type="spellEnd"/>
      <w:r w:rsidRPr="00D25ABF">
        <w:rPr>
          <w:rFonts w:ascii="Times New Roman" w:hAnsi="Times New Roman"/>
        </w:rPr>
        <w:t xml:space="preserve"> si può dire che la  difesa della Corte europea</w:t>
      </w:r>
      <w:r w:rsidR="0001336B">
        <w:rPr>
          <w:rFonts w:ascii="Times New Roman" w:hAnsi="Times New Roman"/>
        </w:rPr>
        <w:t xml:space="preserve"> </w:t>
      </w:r>
      <w:r w:rsidRPr="00D25ABF">
        <w:rPr>
          <w:rFonts w:ascii="Times New Roman" w:hAnsi="Times New Roman"/>
        </w:rPr>
        <w:t>manchi di adeguate motivazioni.</w:t>
      </w:r>
    </w:p>
    <w:p w14:paraId="71733051" w14:textId="77777777" w:rsidR="00175096" w:rsidRPr="00D25ABF" w:rsidRDefault="00175096" w:rsidP="00D25ABF">
      <w:pPr>
        <w:ind w:firstLine="709"/>
        <w:jc w:val="both"/>
        <w:rPr>
          <w:rFonts w:ascii="Times New Roman" w:hAnsi="Times New Roman"/>
        </w:rPr>
      </w:pPr>
      <w:r w:rsidRPr="00D25ABF">
        <w:rPr>
          <w:rFonts w:ascii="Times New Roman" w:hAnsi="Times New Roman"/>
        </w:rPr>
        <w:t>In vero, come è noto, il giudice di Strasburgo, da sempre</w:t>
      </w:r>
      <w:r w:rsidR="0001336B">
        <w:rPr>
          <w:rFonts w:ascii="Times New Roman" w:hAnsi="Times New Roman"/>
        </w:rPr>
        <w:t xml:space="preserve"> </w:t>
      </w:r>
      <w:r w:rsidRPr="00D25ABF">
        <w:rPr>
          <w:rFonts w:ascii="Times New Roman" w:hAnsi="Times New Roman"/>
        </w:rPr>
        <w:t>più attento</w:t>
      </w:r>
      <w:r w:rsidR="0001336B">
        <w:rPr>
          <w:rFonts w:ascii="Times New Roman" w:hAnsi="Times New Roman"/>
        </w:rPr>
        <w:t xml:space="preserve"> </w:t>
      </w:r>
      <w:r w:rsidRPr="00D25ABF">
        <w:rPr>
          <w:rFonts w:ascii="Times New Roman" w:hAnsi="Times New Roman"/>
        </w:rPr>
        <w:t>ai requisiti sostanziali  che non a quelli  formali, si è  dimostrato  assai più propenso del giudice costituzionale italiano al riconoscimento istituzionale degli organi chiamati all’esercizio di una attività giurisdizionale</w:t>
      </w:r>
      <w:r w:rsidRPr="00D25ABF">
        <w:rPr>
          <w:rStyle w:val="Rimandonotaapidipagina"/>
          <w:rFonts w:ascii="Times New Roman" w:hAnsi="Times New Roman"/>
        </w:rPr>
        <w:footnoteReference w:id="32"/>
      </w:r>
      <w:r w:rsidRPr="00D25ABF">
        <w:rPr>
          <w:rFonts w:ascii="Times New Roman" w:hAnsi="Times New Roman"/>
        </w:rPr>
        <w:t>.</w:t>
      </w:r>
    </w:p>
    <w:p w14:paraId="6B118F21" w14:textId="0514F700" w:rsidR="00175096" w:rsidRPr="00D25ABF" w:rsidRDefault="00175096" w:rsidP="00D25ABF">
      <w:pPr>
        <w:ind w:firstLine="709"/>
        <w:jc w:val="both"/>
        <w:rPr>
          <w:rFonts w:ascii="Times New Roman" w:hAnsi="Times New Roman"/>
        </w:rPr>
      </w:pPr>
      <w:r w:rsidRPr="00D25ABF">
        <w:rPr>
          <w:rFonts w:ascii="Times New Roman" w:hAnsi="Times New Roman"/>
        </w:rPr>
        <w:lastRenderedPageBreak/>
        <w:t xml:space="preserve">    Ai fini della Convenzione, essa ha così escluso</w:t>
      </w:r>
      <w:r w:rsidR="0001336B">
        <w:rPr>
          <w:rFonts w:ascii="Times New Roman" w:hAnsi="Times New Roman"/>
        </w:rPr>
        <w:t xml:space="preserve"> </w:t>
      </w:r>
      <w:r w:rsidR="00DE5BA5">
        <w:rPr>
          <w:rFonts w:ascii="Times New Roman" w:hAnsi="Times New Roman"/>
        </w:rPr>
        <w:t>che si debba qualificare</w:t>
      </w:r>
      <w:r w:rsidRPr="00D25ABF">
        <w:rPr>
          <w:rFonts w:ascii="Times New Roman" w:hAnsi="Times New Roman"/>
        </w:rPr>
        <w:t xml:space="preserve"> “Tribunale” solo  una giurisdizione di tipo classico, integrata  nelle strutture giudiziarie ordinarie del singolo Paese. Ed ha piuttosto</w:t>
      </w:r>
      <w:r w:rsidR="0001336B">
        <w:rPr>
          <w:rFonts w:ascii="Times New Roman" w:hAnsi="Times New Roman"/>
        </w:rPr>
        <w:t xml:space="preserve"> </w:t>
      </w:r>
      <w:r w:rsidRPr="00D25ABF">
        <w:rPr>
          <w:rFonts w:ascii="Times New Roman" w:hAnsi="Times New Roman"/>
        </w:rPr>
        <w:t>riconosciuto tale attribuzione a qualsiasi autorità  alla quale spetti“</w:t>
      </w:r>
      <w:r w:rsidR="005B65CD">
        <w:rPr>
          <w:rFonts w:ascii="Times New Roman" w:hAnsi="Times New Roman"/>
        </w:rPr>
        <w:t xml:space="preserve"> </w:t>
      </w:r>
      <w:r w:rsidRPr="00D25ABF">
        <w:rPr>
          <w:rFonts w:ascii="Times New Roman" w:hAnsi="Times New Roman"/>
        </w:rPr>
        <w:t>decidere, sulla base di norme di diritto, con pienezza di giurisdizione e a conclusione di una procedura organizzata, su una qualsiasi questione di sua competenza”</w:t>
      </w:r>
      <w:r w:rsidRPr="00D25ABF">
        <w:rPr>
          <w:rStyle w:val="Rimandonotaapidipagina"/>
          <w:rFonts w:ascii="Times New Roman" w:hAnsi="Times New Roman"/>
        </w:rPr>
        <w:footnoteReference w:id="33"/>
      </w:r>
      <w:r w:rsidRPr="00D25ABF">
        <w:rPr>
          <w:rFonts w:ascii="Times New Roman" w:hAnsi="Times New Roman"/>
        </w:rPr>
        <w:t>.</w:t>
      </w:r>
    </w:p>
    <w:p w14:paraId="1BACE0FF" w14:textId="77777777" w:rsidR="00175096" w:rsidRPr="00D25ABF" w:rsidRDefault="00175096" w:rsidP="00D25ABF">
      <w:pPr>
        <w:ind w:firstLine="709"/>
        <w:jc w:val="both"/>
        <w:rPr>
          <w:rFonts w:ascii="Times New Roman" w:hAnsi="Times New Roman"/>
        </w:rPr>
      </w:pPr>
      <w:r w:rsidRPr="00D25ABF">
        <w:rPr>
          <w:rFonts w:ascii="Times New Roman" w:hAnsi="Times New Roman"/>
        </w:rPr>
        <w:t>Ma non solo. In materia di autodichia essa  non ha esitato a riconoscere ampia autonomia  di decisione ai singoli Stati; liberi,  questi, di determinare i propri istituti di tutela dell’autonomia e della indipendenza delle Assemblee rappresentative, rendendole, se del caso e a loro discrezione, immuni anche dal controllo del giudice ordinario</w:t>
      </w:r>
      <w:r w:rsidRPr="00D25ABF">
        <w:rPr>
          <w:rStyle w:val="Rimandonotaapidipagina"/>
          <w:rFonts w:ascii="Times New Roman" w:hAnsi="Times New Roman"/>
        </w:rPr>
        <w:footnoteReference w:id="34"/>
      </w:r>
      <w:r w:rsidRPr="00D25ABF">
        <w:rPr>
          <w:rFonts w:ascii="Times New Roman" w:hAnsi="Times New Roman"/>
        </w:rPr>
        <w:t>.</w:t>
      </w:r>
    </w:p>
    <w:p w14:paraId="524061CA" w14:textId="77777777" w:rsidR="00175096" w:rsidRPr="00D25ABF" w:rsidRDefault="00175096" w:rsidP="00D25ABF">
      <w:pPr>
        <w:ind w:firstLine="709"/>
        <w:jc w:val="both"/>
        <w:rPr>
          <w:rFonts w:ascii="Times New Roman" w:hAnsi="Times New Roman"/>
        </w:rPr>
      </w:pPr>
      <w:r w:rsidRPr="00D25ABF">
        <w:rPr>
          <w:rFonts w:ascii="Times New Roman" w:hAnsi="Times New Roman"/>
          <w:i/>
        </w:rPr>
        <w:t>Nulla quaestio</w:t>
      </w:r>
      <w:r w:rsidRPr="00D25ABF">
        <w:rPr>
          <w:rFonts w:ascii="Times New Roman" w:hAnsi="Times New Roman"/>
        </w:rPr>
        <w:t xml:space="preserve">, dunque, a seguire il ragionamento della Corte europea, sulla legittimo mantenimento di tale istituto, almeno fino a decisione contraria. </w:t>
      </w:r>
    </w:p>
    <w:p w14:paraId="0AF46358"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E ciò, naturalmente, a condizione </w:t>
      </w:r>
      <w:r w:rsidR="0001336B">
        <w:rPr>
          <w:rFonts w:ascii="Times New Roman" w:hAnsi="Times New Roman"/>
        </w:rPr>
        <w:t>‒</w:t>
      </w:r>
      <w:r w:rsidRPr="00D25ABF">
        <w:rPr>
          <w:rFonts w:ascii="Times New Roman" w:hAnsi="Times New Roman"/>
        </w:rPr>
        <w:t xml:space="preserve"> sempre seguendo le indicazioni del giudice di</w:t>
      </w:r>
      <w:r w:rsidR="0001336B">
        <w:rPr>
          <w:rFonts w:ascii="Times New Roman" w:hAnsi="Times New Roman"/>
        </w:rPr>
        <w:t xml:space="preserve"> </w:t>
      </w:r>
      <w:r w:rsidRPr="00D25ABF">
        <w:rPr>
          <w:rFonts w:ascii="Times New Roman" w:hAnsi="Times New Roman"/>
        </w:rPr>
        <w:t>Strasburgo</w:t>
      </w:r>
      <w:r w:rsidR="0001336B">
        <w:rPr>
          <w:rFonts w:ascii="Times New Roman" w:hAnsi="Times New Roman"/>
        </w:rPr>
        <w:t xml:space="preserve"> ‒</w:t>
      </w:r>
      <w:r w:rsidRPr="00D25ABF">
        <w:rPr>
          <w:rFonts w:ascii="Times New Roman" w:hAnsi="Times New Roman"/>
        </w:rPr>
        <w:t xml:space="preserve"> che  siano osservati quei canoni di autonomia e di indipendenza  indispensabili per la legittimità di un qualsiasi organo giudicante.</w:t>
      </w:r>
    </w:p>
    <w:p w14:paraId="5C93DC17" w14:textId="77777777" w:rsidR="00175096" w:rsidRPr="00D25ABF" w:rsidRDefault="00175096" w:rsidP="00D25ABF">
      <w:pPr>
        <w:ind w:firstLine="709"/>
        <w:jc w:val="both"/>
        <w:rPr>
          <w:rFonts w:ascii="Times New Roman" w:hAnsi="Times New Roman"/>
        </w:rPr>
      </w:pPr>
      <w:r w:rsidRPr="00D25ABF">
        <w:rPr>
          <w:rFonts w:ascii="Times New Roman" w:hAnsi="Times New Roman"/>
        </w:rPr>
        <w:t>E, d’</w:t>
      </w:r>
      <w:r w:rsidR="0001336B">
        <w:rPr>
          <w:rFonts w:ascii="Times New Roman" w:hAnsi="Times New Roman"/>
        </w:rPr>
        <w:t xml:space="preserve">altra parte, </w:t>
      </w:r>
      <w:r w:rsidRPr="00D25ABF">
        <w:rPr>
          <w:rFonts w:ascii="Times New Roman" w:hAnsi="Times New Roman"/>
        </w:rPr>
        <w:t xml:space="preserve">seguendo questa volta le argomentazioni della Corte italiana, proprio la previsione dello strumento del conflitto di attribuzioni, verrebbe a rafforzare, al di là di ogni possibile dubbio, la legittimità dell’istituto parlamentare. </w:t>
      </w:r>
    </w:p>
    <w:p w14:paraId="2F6F563E" w14:textId="77777777" w:rsidR="00175096" w:rsidRPr="00D25ABF" w:rsidRDefault="00175096" w:rsidP="00D25ABF">
      <w:pPr>
        <w:ind w:firstLine="709"/>
        <w:jc w:val="both"/>
        <w:rPr>
          <w:rFonts w:ascii="Times New Roman" w:hAnsi="Times New Roman"/>
        </w:rPr>
      </w:pPr>
      <w:r w:rsidRPr="00D25ABF">
        <w:rPr>
          <w:rFonts w:ascii="Times New Roman" w:hAnsi="Times New Roman"/>
        </w:rPr>
        <w:t>Il ricorso al conflitto di attribuzioni, infatti, ripristinando, se del caso, l’ordinario esercizio delle competenze giurisdizionali, garantirebbe la necessaria  tutela</w:t>
      </w:r>
      <w:r w:rsidR="0001336B">
        <w:rPr>
          <w:rFonts w:ascii="Times New Roman" w:hAnsi="Times New Roman"/>
        </w:rPr>
        <w:t xml:space="preserve"> </w:t>
      </w:r>
      <w:r w:rsidRPr="00D25ABF">
        <w:rPr>
          <w:rFonts w:ascii="Times New Roman" w:hAnsi="Times New Roman"/>
        </w:rPr>
        <w:t>dei soggetti interessati, rendendo la deroga  più controllata e circoscritta.</w:t>
      </w:r>
    </w:p>
    <w:p w14:paraId="5D4C53FA" w14:textId="77777777" w:rsidR="00175096" w:rsidRPr="00D25ABF" w:rsidRDefault="00175096" w:rsidP="00D25ABF">
      <w:pPr>
        <w:ind w:firstLine="709"/>
        <w:jc w:val="both"/>
        <w:rPr>
          <w:rFonts w:ascii="Times New Roman" w:hAnsi="Times New Roman"/>
          <w:b/>
        </w:rPr>
      </w:pPr>
      <w:r w:rsidRPr="00D25ABF">
        <w:rPr>
          <w:rFonts w:ascii="Times New Roman" w:hAnsi="Times New Roman"/>
        </w:rPr>
        <w:t xml:space="preserve">   Né vanno, poi,  dimenticate le significative riforme regolamentari che, anche a seguito delle sentenze della Corte italiana e della Corte </w:t>
      </w:r>
      <w:proofErr w:type="spellStart"/>
      <w:r w:rsidRPr="00D25ABF">
        <w:rPr>
          <w:rFonts w:ascii="Times New Roman" w:hAnsi="Times New Roman"/>
        </w:rPr>
        <w:t>Edu</w:t>
      </w:r>
      <w:proofErr w:type="spellEnd"/>
      <w:r w:rsidRPr="00D25ABF">
        <w:rPr>
          <w:rFonts w:ascii="Times New Roman" w:hAnsi="Times New Roman"/>
        </w:rPr>
        <w:t>, sono venute modificando il sistema di giurisdizione domestica degli organi parlamentari.</w:t>
      </w:r>
    </w:p>
    <w:p w14:paraId="543E7449"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A norma dell’art. 12 del regolamento della Camera  nessuno dei componenti dell’Ufficio di Presidenza può oggi far parte degli organi interni, sia  di primo che di secondo grado. </w:t>
      </w:r>
    </w:p>
    <w:p w14:paraId="7B0005E2" w14:textId="24CC9834" w:rsidR="00175096" w:rsidRPr="00D25ABF" w:rsidRDefault="00175096" w:rsidP="00D25ABF">
      <w:pPr>
        <w:ind w:firstLine="709"/>
        <w:jc w:val="both"/>
        <w:rPr>
          <w:rFonts w:ascii="Times New Roman" w:hAnsi="Times New Roman"/>
        </w:rPr>
      </w:pPr>
      <w:r w:rsidRPr="00D25ABF">
        <w:rPr>
          <w:rFonts w:ascii="Times New Roman" w:hAnsi="Times New Roman"/>
        </w:rPr>
        <w:t>Allo stesso modo, gli artt. 72 e 75 del T.U. delle norme</w:t>
      </w:r>
      <w:r w:rsidR="0001336B">
        <w:rPr>
          <w:rFonts w:ascii="Times New Roman" w:hAnsi="Times New Roman"/>
        </w:rPr>
        <w:t xml:space="preserve"> </w:t>
      </w:r>
      <w:r w:rsidRPr="00D25ABF">
        <w:rPr>
          <w:rFonts w:ascii="Times New Roman" w:hAnsi="Times New Roman"/>
        </w:rPr>
        <w:t>del Senato</w:t>
      </w:r>
      <w:r w:rsidR="0001336B">
        <w:rPr>
          <w:rFonts w:ascii="Times New Roman" w:hAnsi="Times New Roman"/>
        </w:rPr>
        <w:t xml:space="preserve"> </w:t>
      </w:r>
      <w:r w:rsidRPr="00D25ABF">
        <w:rPr>
          <w:rFonts w:ascii="Times New Roman" w:hAnsi="Times New Roman"/>
        </w:rPr>
        <w:t>relative al personale,</w:t>
      </w:r>
      <w:r w:rsidR="00CA46F8">
        <w:rPr>
          <w:rFonts w:ascii="Times New Roman" w:hAnsi="Times New Roman"/>
        </w:rPr>
        <w:t xml:space="preserve"> </w:t>
      </w:r>
      <w:r w:rsidRPr="00D25ABF">
        <w:rPr>
          <w:rFonts w:ascii="Times New Roman" w:hAnsi="Times New Roman"/>
        </w:rPr>
        <w:t>escludono che i membri dell’Ufficio di Presidenza possano far parte degli organi giudicanti</w:t>
      </w:r>
      <w:r w:rsidR="00DE5BA5">
        <w:rPr>
          <w:rFonts w:ascii="Times New Roman" w:hAnsi="Times New Roman"/>
        </w:rPr>
        <w:t xml:space="preserve"> </w:t>
      </w:r>
      <w:r w:rsidRPr="00D25ABF">
        <w:rPr>
          <w:rFonts w:ascii="Times New Roman" w:hAnsi="Times New Roman"/>
        </w:rPr>
        <w:t>(la Commissione contenziosa, in primo grado, e il Consiglio di garanzia, in secondo grado), oltre a prevedere particolari requisiti di esperienza e professionalità quanto alla</w:t>
      </w:r>
      <w:r w:rsidR="0001336B">
        <w:rPr>
          <w:rFonts w:ascii="Times New Roman" w:hAnsi="Times New Roman"/>
        </w:rPr>
        <w:t xml:space="preserve"> </w:t>
      </w:r>
      <w:r w:rsidRPr="00D25ABF">
        <w:rPr>
          <w:rFonts w:ascii="Times New Roman" w:hAnsi="Times New Roman"/>
        </w:rPr>
        <w:t>loro composizione  al fine di assicurarne la massima obiettività e competenza</w:t>
      </w:r>
      <w:r w:rsidRPr="00D25ABF">
        <w:rPr>
          <w:rStyle w:val="Rimandonotaapidipagina"/>
          <w:rFonts w:ascii="Times New Roman" w:hAnsi="Times New Roman"/>
        </w:rPr>
        <w:footnoteReference w:id="35"/>
      </w:r>
      <w:r w:rsidRPr="00D25ABF">
        <w:rPr>
          <w:rFonts w:ascii="Times New Roman" w:hAnsi="Times New Roman"/>
        </w:rPr>
        <w:t>.</w:t>
      </w:r>
    </w:p>
    <w:p w14:paraId="4AEEA87C" w14:textId="7719688B" w:rsidR="00175096" w:rsidRPr="00D25ABF" w:rsidRDefault="00175096" w:rsidP="00D25ABF">
      <w:pPr>
        <w:ind w:firstLine="709"/>
        <w:jc w:val="both"/>
        <w:rPr>
          <w:rFonts w:ascii="Times New Roman" w:hAnsi="Times New Roman"/>
        </w:rPr>
      </w:pPr>
      <w:r w:rsidRPr="00D25ABF">
        <w:rPr>
          <w:rFonts w:ascii="Times New Roman" w:hAnsi="Times New Roman"/>
        </w:rPr>
        <w:t xml:space="preserve">   In fine, ma non ultimo, non si può non considerare che l’autodichia, sia pure essa la prerogativa più debole e controversa, rimane</w:t>
      </w:r>
      <w:r w:rsidR="0001336B">
        <w:rPr>
          <w:rFonts w:ascii="Times New Roman" w:hAnsi="Times New Roman"/>
        </w:rPr>
        <w:t xml:space="preserve"> </w:t>
      </w:r>
      <w:r w:rsidRPr="00D25ABF">
        <w:rPr>
          <w:rFonts w:ascii="Times New Roman" w:hAnsi="Times New Roman"/>
        </w:rPr>
        <w:t>pur sempre parte  significante</w:t>
      </w:r>
      <w:r w:rsidR="0001336B">
        <w:rPr>
          <w:rFonts w:ascii="Times New Roman" w:hAnsi="Times New Roman"/>
        </w:rPr>
        <w:t xml:space="preserve"> </w:t>
      </w:r>
      <w:r w:rsidRPr="00D25ABF">
        <w:rPr>
          <w:rFonts w:ascii="Times New Roman" w:hAnsi="Times New Roman"/>
        </w:rPr>
        <w:t xml:space="preserve">del complesso sistema delle garanzie riconosciute agli organi di vertice. Un sistema che, per </w:t>
      </w:r>
      <w:r w:rsidR="00DE5BA5">
        <w:rPr>
          <w:rFonts w:ascii="Times New Roman" w:hAnsi="Times New Roman"/>
        </w:rPr>
        <w:t xml:space="preserve">quanto non più monoliticamente </w:t>
      </w:r>
      <w:r w:rsidRPr="00D25ABF">
        <w:rPr>
          <w:rFonts w:ascii="Times New Roman" w:hAnsi="Times New Roman"/>
        </w:rPr>
        <w:t>difeso quale espressione di quello che è stato definito da una ormai risalente dottrina</w:t>
      </w:r>
      <w:r w:rsidR="00C4277A">
        <w:rPr>
          <w:rFonts w:ascii="Times New Roman" w:hAnsi="Times New Roman"/>
        </w:rPr>
        <w:t xml:space="preserve"> </w:t>
      </w:r>
      <w:r w:rsidRPr="00D25ABF">
        <w:rPr>
          <w:rFonts w:ascii="Times New Roman" w:hAnsi="Times New Roman"/>
        </w:rPr>
        <w:t>il “regime comune degli organi costituzionali”</w:t>
      </w:r>
      <w:r w:rsidRPr="00D25ABF">
        <w:rPr>
          <w:rStyle w:val="Rimandonotaapidipagina"/>
          <w:rFonts w:ascii="Times New Roman" w:hAnsi="Times New Roman"/>
        </w:rPr>
        <w:footnoteReference w:id="36"/>
      </w:r>
      <w:r w:rsidRPr="00D25ABF">
        <w:rPr>
          <w:rFonts w:ascii="Times New Roman" w:hAnsi="Times New Roman"/>
        </w:rPr>
        <w:t>, conserva ancora oggi  una sua qualche giustificazione, quale garanzia della loro posizione apicale,</w:t>
      </w:r>
      <w:r w:rsidR="00CA46F8">
        <w:rPr>
          <w:rFonts w:ascii="Times New Roman" w:hAnsi="Times New Roman"/>
        </w:rPr>
        <w:t xml:space="preserve"> </w:t>
      </w:r>
      <w:r w:rsidRPr="00D25ABF">
        <w:rPr>
          <w:rFonts w:ascii="Times New Roman" w:hAnsi="Times New Roman"/>
        </w:rPr>
        <w:t>oltre che della loro  autonomia ed indipendenza.</w:t>
      </w:r>
    </w:p>
    <w:p w14:paraId="40C280C7" w14:textId="77777777" w:rsidR="00175096" w:rsidRPr="00D25ABF" w:rsidRDefault="00175096" w:rsidP="00D25ABF">
      <w:pPr>
        <w:ind w:firstLine="709"/>
        <w:jc w:val="both"/>
        <w:rPr>
          <w:rFonts w:ascii="Times New Roman" w:hAnsi="Times New Roman"/>
        </w:rPr>
      </w:pPr>
      <w:r w:rsidRPr="00D25ABF">
        <w:rPr>
          <w:rFonts w:ascii="Times New Roman" w:hAnsi="Times New Roman"/>
        </w:rPr>
        <w:t>Un sistema, che, d’altra parte, sempre seguendo le argomentazioni della Corte italiana, ben lontano dall’avere assunto una sua forma stabile e definitiva, appare a tutt’oggi tutt’altro che chiaro e concluso</w:t>
      </w:r>
      <w:r w:rsidR="002227D1">
        <w:rPr>
          <w:rFonts w:ascii="Times New Roman" w:hAnsi="Times New Roman"/>
        </w:rPr>
        <w:t xml:space="preserve"> </w:t>
      </w:r>
      <w:r w:rsidRPr="00D25ABF">
        <w:rPr>
          <w:rFonts w:ascii="Times New Roman" w:hAnsi="Times New Roman"/>
        </w:rPr>
        <w:t>e, invece, aperto</w:t>
      </w:r>
      <w:r w:rsidR="002227D1">
        <w:rPr>
          <w:rFonts w:ascii="Times New Roman" w:hAnsi="Times New Roman"/>
        </w:rPr>
        <w:t xml:space="preserve"> </w:t>
      </w:r>
      <w:r w:rsidRPr="00D25ABF">
        <w:rPr>
          <w:rFonts w:ascii="Times New Roman" w:hAnsi="Times New Roman"/>
        </w:rPr>
        <w:t>a nuovi possibili sviluppi.  E ciò se è vero che, come  ha sottolineato di recente il giudice costituzionale ragionando intorno alle prerogative del Capo dello Stato</w:t>
      </w:r>
      <w:r w:rsidRPr="00D25ABF">
        <w:rPr>
          <w:rStyle w:val="Rimandonotaapidipagina"/>
          <w:rFonts w:ascii="Times New Roman" w:hAnsi="Times New Roman"/>
        </w:rPr>
        <w:footnoteReference w:id="37"/>
      </w:r>
      <w:r w:rsidRPr="00D25ABF">
        <w:rPr>
          <w:rFonts w:ascii="Times New Roman" w:hAnsi="Times New Roman"/>
        </w:rPr>
        <w:t xml:space="preserve">, </w:t>
      </w:r>
      <w:proofErr w:type="spellStart"/>
      <w:r w:rsidRPr="00D25ABF">
        <w:rPr>
          <w:rFonts w:ascii="Times New Roman" w:hAnsi="Times New Roman"/>
        </w:rPr>
        <w:lastRenderedPageBreak/>
        <w:t>legaranzie</w:t>
      </w:r>
      <w:proofErr w:type="spellEnd"/>
      <w:r w:rsidRPr="00D25ABF">
        <w:rPr>
          <w:rFonts w:ascii="Times New Roman" w:hAnsi="Times New Roman"/>
        </w:rPr>
        <w:t xml:space="preserve">  riconosciute agli organi di vertice, lungi dal trovare la loro </w:t>
      </w:r>
      <w:proofErr w:type="spellStart"/>
      <w:r w:rsidRPr="00D25ABF">
        <w:rPr>
          <w:rFonts w:ascii="Times New Roman" w:hAnsi="Times New Roman"/>
        </w:rPr>
        <w:t>unicagiustificazione</w:t>
      </w:r>
      <w:proofErr w:type="spellEnd"/>
      <w:r w:rsidRPr="00D25ABF">
        <w:rPr>
          <w:rFonts w:ascii="Times New Roman" w:hAnsi="Times New Roman"/>
        </w:rPr>
        <w:t xml:space="preserve"> in esplicite disposizioni costituzionali che le </w:t>
      </w:r>
      <w:proofErr w:type="spellStart"/>
      <w:r w:rsidRPr="00D25ABF">
        <w:rPr>
          <w:rFonts w:ascii="Times New Roman" w:hAnsi="Times New Roman"/>
        </w:rPr>
        <w:t>prevedano,traggono</w:t>
      </w:r>
      <w:proofErr w:type="spellEnd"/>
      <w:r w:rsidRPr="00D25ABF">
        <w:rPr>
          <w:rFonts w:ascii="Times New Roman" w:hAnsi="Times New Roman"/>
        </w:rPr>
        <w:t xml:space="preserve"> piuttosto fondamento dalle “esigenze intrinseche del sistema”. Le quali, pur in assenza di una enunciazione formale ed espressa, vengano ad emergere</w:t>
      </w:r>
      <w:r w:rsidR="002227D1">
        <w:rPr>
          <w:rFonts w:ascii="Times New Roman" w:hAnsi="Times New Roman"/>
        </w:rPr>
        <w:t xml:space="preserve"> </w:t>
      </w:r>
      <w:r w:rsidRPr="00D25ABF">
        <w:rPr>
          <w:rFonts w:ascii="Times New Roman" w:hAnsi="Times New Roman"/>
        </w:rPr>
        <w:t>in modo univoco</w:t>
      </w:r>
      <w:r w:rsidR="002227D1">
        <w:rPr>
          <w:rFonts w:ascii="Times New Roman" w:hAnsi="Times New Roman"/>
        </w:rPr>
        <w:t xml:space="preserve"> </w:t>
      </w:r>
      <w:r w:rsidRPr="00D25ABF">
        <w:rPr>
          <w:rFonts w:ascii="Times New Roman" w:hAnsi="Times New Roman"/>
        </w:rPr>
        <w:t xml:space="preserve">dal complesso delle relazioni che caratterizzano i rapporti ai vertici del nostro ordinamento, suggerendo soluzioni (e conferme) che, volta </w:t>
      </w:r>
      <w:proofErr w:type="spellStart"/>
      <w:r w:rsidRPr="00D25ABF">
        <w:rPr>
          <w:rFonts w:ascii="Times New Roman" w:hAnsi="Times New Roman"/>
        </w:rPr>
        <w:t>volta,possono</w:t>
      </w:r>
      <w:proofErr w:type="spellEnd"/>
      <w:r w:rsidRPr="00D25ABF">
        <w:rPr>
          <w:rFonts w:ascii="Times New Roman" w:hAnsi="Times New Roman"/>
        </w:rPr>
        <w:t xml:space="preserve"> variare alla luce di valutazioni in termini di adeguatezza ed utilità</w:t>
      </w:r>
      <w:r w:rsidRPr="00D25ABF">
        <w:rPr>
          <w:rStyle w:val="Rimandonotaapidipagina"/>
          <w:rFonts w:ascii="Times New Roman" w:hAnsi="Times New Roman"/>
        </w:rPr>
        <w:footnoteReference w:id="38"/>
      </w:r>
      <w:r w:rsidRPr="00D25ABF">
        <w:rPr>
          <w:rFonts w:ascii="Times New Roman" w:hAnsi="Times New Roman"/>
        </w:rPr>
        <w:t>.</w:t>
      </w:r>
    </w:p>
    <w:p w14:paraId="00D32312"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Nonostante, dunque, dubbi ed incertezze, l’autodichia potrebbe ancora  conservare una sua  legittimazione.</w:t>
      </w:r>
    </w:p>
    <w:p w14:paraId="3EF515AC"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E, tuttavia, malgrado i possibili elementi a suo favore, pesa in ogni caso su di essa quello che potrebbe risultare l’elemento scriminante per la sua conservazione. La dubbia esistenza, </w:t>
      </w:r>
      <w:proofErr w:type="spellStart"/>
      <w:r w:rsidRPr="00D25ABF">
        <w:rPr>
          <w:rFonts w:ascii="Times New Roman" w:hAnsi="Times New Roman"/>
        </w:rPr>
        <w:t>cioè,proprio</w:t>
      </w:r>
      <w:proofErr w:type="spellEnd"/>
      <w:r w:rsidRPr="00D25ABF">
        <w:rPr>
          <w:rFonts w:ascii="Times New Roman" w:hAnsi="Times New Roman"/>
        </w:rPr>
        <w:t xml:space="preserve"> di quel nesso funzionale tra prerogative riconosciute agli organi costituzionali ed esercizio delle loro funzioni sovrane chela Corte non ha mancato di evocare anche nella pronuncia in esame</w:t>
      </w:r>
      <w:r w:rsidRPr="00D25ABF">
        <w:rPr>
          <w:rStyle w:val="Rimandonotaapidipagina"/>
          <w:rFonts w:ascii="Times New Roman" w:hAnsi="Times New Roman"/>
        </w:rPr>
        <w:footnoteReference w:id="39"/>
      </w:r>
      <w:r w:rsidRPr="00D25ABF">
        <w:rPr>
          <w:rFonts w:ascii="Times New Roman" w:hAnsi="Times New Roman"/>
        </w:rPr>
        <w:t>e che, secondo un’ormai consolidata giurisprudenza sia nazionale che europea</w:t>
      </w:r>
      <w:r w:rsidRPr="00D25ABF">
        <w:rPr>
          <w:rStyle w:val="Rimandonotaapidipagina"/>
          <w:rFonts w:ascii="Times New Roman" w:hAnsi="Times New Roman"/>
        </w:rPr>
        <w:footnoteReference w:id="40"/>
      </w:r>
      <w:r w:rsidRPr="00D25ABF">
        <w:rPr>
          <w:rFonts w:ascii="Times New Roman" w:hAnsi="Times New Roman"/>
        </w:rPr>
        <w:t>, misura la  “proporzione” e la “ragionevolezza” del rapporto che si viene ad  instaurare</w:t>
      </w:r>
      <w:r w:rsidR="002227D1">
        <w:rPr>
          <w:rFonts w:ascii="Times New Roman" w:hAnsi="Times New Roman"/>
        </w:rPr>
        <w:t xml:space="preserve"> </w:t>
      </w:r>
      <w:r w:rsidRPr="00D25ABF">
        <w:rPr>
          <w:rFonts w:ascii="Times New Roman" w:hAnsi="Times New Roman"/>
        </w:rPr>
        <w:t>tra gli scopi perseguiti attraverso l’applicazione di tali prerogative e le modalità della loro concreta attuazione.</w:t>
      </w:r>
    </w:p>
    <w:p w14:paraId="5B4D40CC" w14:textId="77777777" w:rsidR="00175096" w:rsidRPr="00D25ABF" w:rsidRDefault="00175096" w:rsidP="00D25ABF">
      <w:pPr>
        <w:ind w:firstLine="709"/>
        <w:jc w:val="both"/>
        <w:rPr>
          <w:rFonts w:ascii="Times New Roman" w:hAnsi="Times New Roman"/>
        </w:rPr>
      </w:pPr>
      <w:r w:rsidRPr="00D25ABF">
        <w:rPr>
          <w:rFonts w:ascii="Times New Roman" w:hAnsi="Times New Roman"/>
        </w:rPr>
        <w:t>Al di là di ogni possibile incertezza, proprio il maggior rigore acquisito da questo controllo potrebbe allora rendere difficile il mantenere in vita</w:t>
      </w:r>
      <w:r w:rsidR="002227D1">
        <w:rPr>
          <w:rFonts w:ascii="Times New Roman" w:hAnsi="Times New Roman"/>
        </w:rPr>
        <w:t xml:space="preserve"> </w:t>
      </w:r>
      <w:r w:rsidRPr="00D25ABF">
        <w:rPr>
          <w:rFonts w:ascii="Times New Roman" w:hAnsi="Times New Roman"/>
        </w:rPr>
        <w:t>prerogative che sono state da sempre ritenute assai lontane dall’esercizio di funzioni sovrane.  Ovvero, quanto meno, esso potrebbe rendere finalmente obbligatorie modifiche anche profonde alla loro applicazione, soprattutto in riferimento a quei soggetti che, pur instaurando con le Camere rapporti del tutto occasionali e temporanei, si vedono preclusa  l’ordinaria tutela giurisdizionale</w:t>
      </w:r>
      <w:r w:rsidRPr="00D25ABF">
        <w:rPr>
          <w:rStyle w:val="Rimandonotaapidipagina"/>
          <w:rFonts w:ascii="Times New Roman" w:hAnsi="Times New Roman"/>
        </w:rPr>
        <w:footnoteReference w:id="41"/>
      </w:r>
      <w:r w:rsidRPr="00D25ABF">
        <w:rPr>
          <w:rFonts w:ascii="Times New Roman" w:hAnsi="Times New Roman"/>
        </w:rPr>
        <w:t>.</w:t>
      </w:r>
    </w:p>
    <w:p w14:paraId="3DBBCB32"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Ma soprattutto,  e in ogni caso, sempre a fronte del necessario rispetto del criterio di “proporzionalità” e “ragionevolezza imposto dalla Corte italiana e da quella europea,</w:t>
      </w:r>
      <w:r w:rsidR="002227D1">
        <w:rPr>
          <w:rFonts w:ascii="Times New Roman" w:hAnsi="Times New Roman"/>
        </w:rPr>
        <w:t xml:space="preserve"> </w:t>
      </w:r>
      <w:r w:rsidRPr="00D25ABF">
        <w:rPr>
          <w:rFonts w:ascii="Times New Roman" w:hAnsi="Times New Roman"/>
        </w:rPr>
        <w:t>potrebbe apparire non così convincente – dopo gli anni intercorsi dalla sua prima applicazione -  la effettiva idoneità dello strumento del conflitto di farsi davvero garante non solo del ripristino dell’ordinario esercizio delle competenze, ma anche della difesa di coloro i quali siano stati illegittimamente privati  di “diritti costituzionalmente inviolabili”</w:t>
      </w:r>
      <w:r w:rsidRPr="00D25ABF">
        <w:rPr>
          <w:rStyle w:val="Rimandonotaapidipagina"/>
          <w:rFonts w:ascii="Times New Roman" w:hAnsi="Times New Roman"/>
        </w:rPr>
        <w:footnoteReference w:id="42"/>
      </w:r>
      <w:r w:rsidRPr="00D25ABF">
        <w:rPr>
          <w:rFonts w:ascii="Times New Roman" w:hAnsi="Times New Roman"/>
        </w:rPr>
        <w:t>.</w:t>
      </w:r>
    </w:p>
    <w:p w14:paraId="686F0505" w14:textId="77777777" w:rsidR="00175096" w:rsidRDefault="00175096" w:rsidP="00D25ABF">
      <w:pPr>
        <w:ind w:firstLine="709"/>
        <w:jc w:val="both"/>
        <w:rPr>
          <w:rFonts w:ascii="Times New Roman" w:hAnsi="Times New Roman"/>
        </w:rPr>
      </w:pPr>
    </w:p>
    <w:p w14:paraId="06207214" w14:textId="77777777" w:rsidR="009614F0" w:rsidRPr="00D25ABF" w:rsidRDefault="009614F0" w:rsidP="00D25ABF">
      <w:pPr>
        <w:ind w:firstLine="709"/>
        <w:jc w:val="both"/>
        <w:rPr>
          <w:rFonts w:ascii="Times New Roman" w:hAnsi="Times New Roman"/>
        </w:rPr>
      </w:pPr>
    </w:p>
    <w:p w14:paraId="25C513E7" w14:textId="77777777" w:rsidR="00175096" w:rsidRPr="00D25ABF" w:rsidRDefault="00175096" w:rsidP="00D25ABF">
      <w:pPr>
        <w:ind w:firstLine="709"/>
        <w:jc w:val="both"/>
        <w:rPr>
          <w:rFonts w:ascii="Times New Roman" w:hAnsi="Times New Roman"/>
        </w:rPr>
      </w:pPr>
      <w:r w:rsidRPr="00D25ABF">
        <w:rPr>
          <w:rFonts w:ascii="Times New Roman" w:hAnsi="Times New Roman"/>
        </w:rPr>
        <w:t>3.</w:t>
      </w:r>
      <w:r w:rsidR="002227D1">
        <w:rPr>
          <w:rFonts w:ascii="Times New Roman" w:hAnsi="Times New Roman"/>
        </w:rPr>
        <w:t xml:space="preserve"> </w:t>
      </w:r>
      <w:r w:rsidRPr="00D25ABF">
        <w:rPr>
          <w:rFonts w:ascii="Times New Roman" w:hAnsi="Times New Roman"/>
          <w:i/>
        </w:rPr>
        <w:t>Il conflitto di attribuzioni come garanzia del rispetto di questo limite. La sua effettiva capacità di tutela  di tutti i valori messi in campo</w:t>
      </w:r>
      <w:r w:rsidRPr="00D25ABF">
        <w:rPr>
          <w:rFonts w:ascii="Times New Roman" w:hAnsi="Times New Roman"/>
        </w:rPr>
        <w:t xml:space="preserve">. </w:t>
      </w:r>
      <w:r w:rsidRPr="00D25ABF">
        <w:rPr>
          <w:rFonts w:ascii="Times New Roman" w:hAnsi="Times New Roman"/>
          <w:i/>
        </w:rPr>
        <w:t>Spunti conclusivi</w:t>
      </w:r>
    </w:p>
    <w:p w14:paraId="149945F5" w14:textId="77777777" w:rsidR="00175096" w:rsidRPr="00D25ABF" w:rsidRDefault="00175096" w:rsidP="00D25ABF">
      <w:pPr>
        <w:ind w:firstLine="709"/>
        <w:jc w:val="both"/>
        <w:rPr>
          <w:rFonts w:ascii="Times New Roman" w:hAnsi="Times New Roman"/>
        </w:rPr>
      </w:pPr>
    </w:p>
    <w:p w14:paraId="571D94F4" w14:textId="77777777" w:rsidR="00175096" w:rsidRPr="00D25ABF" w:rsidRDefault="00175096" w:rsidP="00D25ABF">
      <w:pPr>
        <w:ind w:firstLine="709"/>
        <w:jc w:val="both"/>
        <w:rPr>
          <w:rFonts w:ascii="Times New Roman" w:hAnsi="Times New Roman"/>
        </w:rPr>
      </w:pPr>
      <w:r w:rsidRPr="00D25ABF">
        <w:rPr>
          <w:rFonts w:ascii="Times New Roman" w:hAnsi="Times New Roman"/>
        </w:rPr>
        <w:t>Secondo  il modello introdotto a partire dalla sentenza n. 1150 del 1988, attraverso lo strumento del conflitto di attribuzioni sarebbe quindi possibile combinare il rispetto dell’autonomia regolamentare delle Camere e la tutela dell’ordinario esercizio delle competenze assegnate agli organi gi</w:t>
      </w:r>
      <w:r w:rsidR="002227D1">
        <w:rPr>
          <w:rFonts w:ascii="Times New Roman" w:hAnsi="Times New Roman"/>
        </w:rPr>
        <w:t>urisdizionali, oltre che la tute</w:t>
      </w:r>
      <w:r w:rsidRPr="00D25ABF">
        <w:rPr>
          <w:rFonts w:ascii="Times New Roman" w:hAnsi="Times New Roman"/>
        </w:rPr>
        <w:t xml:space="preserve">la dei soggetti privati della garanzia di  diritti  fondamentali.  </w:t>
      </w:r>
    </w:p>
    <w:p w14:paraId="24E84363"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Secondo tale modello, dunque, si può ritenere</w:t>
      </w:r>
      <w:r w:rsidR="002227D1">
        <w:rPr>
          <w:rFonts w:ascii="Times New Roman" w:hAnsi="Times New Roman"/>
        </w:rPr>
        <w:t xml:space="preserve"> </w:t>
      </w:r>
      <w:r w:rsidRPr="00D25ABF">
        <w:rPr>
          <w:rFonts w:ascii="Times New Roman" w:hAnsi="Times New Roman"/>
        </w:rPr>
        <w:t>che spetterà all’autorità giudiziaria, nel corso di un giudizio promosso dalla persona lesa dalla decisione degli organi di “giustizia” delle Camere adire la Corte, rivendicando il legittimo esercizio delle proprie attribuzioni. Ovvero, saranno le Camere a sollevare conflitto nel caso in cui sia l’autorità giudiziaria a ledere le competenze parlamentari, respingendo l’eccezione di difetto di giurisdizione sollevata dalle Assemblee parlamentari nel corso di un giudizio</w:t>
      </w:r>
      <w:r w:rsidRPr="00D25ABF">
        <w:rPr>
          <w:rStyle w:val="Rimandonotaapidipagina"/>
          <w:rFonts w:ascii="Times New Roman" w:hAnsi="Times New Roman"/>
        </w:rPr>
        <w:footnoteReference w:id="43"/>
      </w:r>
      <w:r w:rsidRPr="00D25ABF">
        <w:rPr>
          <w:rFonts w:ascii="Times New Roman" w:hAnsi="Times New Roman"/>
        </w:rPr>
        <w:t>.</w:t>
      </w:r>
    </w:p>
    <w:p w14:paraId="7D6DF245" w14:textId="77777777" w:rsidR="00175096" w:rsidRPr="00D25ABF" w:rsidRDefault="00175096" w:rsidP="00D25ABF">
      <w:pPr>
        <w:ind w:firstLine="709"/>
        <w:jc w:val="both"/>
        <w:rPr>
          <w:rFonts w:ascii="Times New Roman" w:hAnsi="Times New Roman"/>
        </w:rPr>
      </w:pPr>
      <w:r w:rsidRPr="00D25ABF">
        <w:rPr>
          <w:rFonts w:ascii="Times New Roman" w:hAnsi="Times New Roman"/>
        </w:rPr>
        <w:lastRenderedPageBreak/>
        <w:t>Non pochi e tutt’altro che irrilevanti i casi che, in base alle attuali norme regolamentari,  potrebbero giungere di fronte al giudice costituzionale. Chi ne ha fatto una esemplificazione</w:t>
      </w:r>
      <w:r w:rsidRPr="00D25ABF">
        <w:rPr>
          <w:rStyle w:val="Rimandonotaapidipagina"/>
          <w:rFonts w:ascii="Times New Roman" w:hAnsi="Times New Roman"/>
        </w:rPr>
        <w:footnoteReference w:id="44"/>
      </w:r>
      <w:r w:rsidRPr="00D25ABF">
        <w:rPr>
          <w:rFonts w:ascii="Times New Roman" w:hAnsi="Times New Roman"/>
        </w:rPr>
        <w:t>ha sommato le più diverse fattispecie, che vanno dalle ordinarie controversie in materia di lavoro dei dipendenti dei due rami del Parlamento a questioni che coinvolgano,</w:t>
      </w:r>
      <w:r w:rsidR="004079DA">
        <w:rPr>
          <w:rFonts w:ascii="Times New Roman" w:hAnsi="Times New Roman"/>
        </w:rPr>
        <w:t xml:space="preserve"> </w:t>
      </w:r>
      <w:r w:rsidRPr="00D25ABF">
        <w:rPr>
          <w:rFonts w:ascii="Times New Roman" w:hAnsi="Times New Roman"/>
        </w:rPr>
        <w:t>invece, partiti, gruppi parlamentari, deputati, senatori e i loro collaboratori, oltre che i più diversi soggetti  legati da rapporti occasionali con le Camere.</w:t>
      </w:r>
    </w:p>
    <w:p w14:paraId="7DF441F1" w14:textId="77777777" w:rsidR="00175096" w:rsidRPr="00D25ABF" w:rsidRDefault="00175096" w:rsidP="00D25ABF">
      <w:pPr>
        <w:ind w:firstLine="709"/>
        <w:jc w:val="both"/>
        <w:rPr>
          <w:rFonts w:ascii="Times New Roman" w:hAnsi="Times New Roman"/>
        </w:rPr>
      </w:pPr>
      <w:r w:rsidRPr="00D25ABF">
        <w:rPr>
          <w:rFonts w:ascii="Times New Roman" w:hAnsi="Times New Roman"/>
        </w:rPr>
        <w:t>In ogni caso, a guardare bene come vanno le cose,  molti, come è noto,  i dubbi che sono stati da tempo avanzati in dottrina circa la reale capacità di tale strumento di farsi garante oltre che del legittimo esercizio delle competenze, anche della tutela dei soggetti privati</w:t>
      </w:r>
      <w:r w:rsidRPr="00D25ABF">
        <w:rPr>
          <w:rStyle w:val="Rimandonotaapidipagina"/>
          <w:rFonts w:ascii="Times New Roman" w:hAnsi="Times New Roman"/>
        </w:rPr>
        <w:footnoteReference w:id="45"/>
      </w:r>
      <w:r w:rsidRPr="00D25ABF">
        <w:rPr>
          <w:rFonts w:ascii="Times New Roman" w:hAnsi="Times New Roman"/>
        </w:rPr>
        <w:t>.</w:t>
      </w:r>
    </w:p>
    <w:p w14:paraId="1E92A494" w14:textId="77777777" w:rsidR="00175096" w:rsidRPr="00D25ABF" w:rsidRDefault="00175096" w:rsidP="00D25ABF">
      <w:pPr>
        <w:ind w:firstLine="709"/>
        <w:jc w:val="both"/>
        <w:rPr>
          <w:rFonts w:ascii="Times New Roman" w:hAnsi="Times New Roman"/>
        </w:rPr>
      </w:pPr>
      <w:r w:rsidRPr="00D25ABF">
        <w:rPr>
          <w:rFonts w:ascii="Times New Roman" w:hAnsi="Times New Roman"/>
        </w:rPr>
        <w:t>Già da tempo si è, infatti, messo in evidenza</w:t>
      </w:r>
      <w:r w:rsidRPr="00D25ABF">
        <w:rPr>
          <w:rStyle w:val="Rimandonotaapidipagina"/>
          <w:rFonts w:ascii="Times New Roman" w:hAnsi="Times New Roman"/>
        </w:rPr>
        <w:footnoteReference w:id="46"/>
      </w:r>
      <w:r w:rsidRPr="00D25ABF">
        <w:rPr>
          <w:rFonts w:ascii="Times New Roman" w:hAnsi="Times New Roman"/>
        </w:rPr>
        <w:t xml:space="preserve"> le non poche limitazioni  che gravano su un procedimento, quello legato all’apertura di un</w:t>
      </w:r>
      <w:r w:rsidR="002227D1">
        <w:rPr>
          <w:rFonts w:ascii="Times New Roman" w:hAnsi="Times New Roman"/>
        </w:rPr>
        <w:t xml:space="preserve"> </w:t>
      </w:r>
      <w:r w:rsidRPr="00D25ABF">
        <w:rPr>
          <w:rFonts w:ascii="Times New Roman" w:hAnsi="Times New Roman"/>
        </w:rPr>
        <w:t>conflitto di attribuzioni, il quale</w:t>
      </w:r>
      <w:r w:rsidR="002227D1">
        <w:rPr>
          <w:rFonts w:ascii="Times New Roman" w:hAnsi="Times New Roman"/>
        </w:rPr>
        <w:t xml:space="preserve"> </w:t>
      </w:r>
      <w:r w:rsidRPr="00D25ABF">
        <w:rPr>
          <w:rFonts w:ascii="Times New Roman" w:hAnsi="Times New Roman"/>
        </w:rPr>
        <w:t>risulta totalmente affidato</w:t>
      </w:r>
      <w:r w:rsidR="002227D1">
        <w:rPr>
          <w:rFonts w:ascii="Times New Roman" w:hAnsi="Times New Roman"/>
        </w:rPr>
        <w:t xml:space="preserve"> </w:t>
      </w:r>
      <w:r w:rsidRPr="00D25ABF">
        <w:rPr>
          <w:rFonts w:ascii="Times New Roman" w:hAnsi="Times New Roman"/>
        </w:rPr>
        <w:t>alla discrezionalità (se non anche alla diligenza) del giudice adito. Un procedimento che, quindi, attribuisce</w:t>
      </w:r>
      <w:r w:rsidR="002227D1">
        <w:rPr>
          <w:rFonts w:ascii="Times New Roman" w:hAnsi="Times New Roman"/>
        </w:rPr>
        <w:t xml:space="preserve"> </w:t>
      </w:r>
      <w:r w:rsidRPr="00D25ABF">
        <w:rPr>
          <w:rFonts w:ascii="Times New Roman" w:hAnsi="Times New Roman"/>
        </w:rPr>
        <w:t>a tali soggetti</w:t>
      </w:r>
      <w:r w:rsidR="002227D1">
        <w:rPr>
          <w:rFonts w:ascii="Times New Roman" w:hAnsi="Times New Roman"/>
        </w:rPr>
        <w:t xml:space="preserve"> </w:t>
      </w:r>
      <w:r w:rsidRPr="00D25ABF">
        <w:rPr>
          <w:rFonts w:ascii="Times New Roman" w:hAnsi="Times New Roman"/>
        </w:rPr>
        <w:t xml:space="preserve">una tutela del tutto eventuale ed indiretta; esposta, come essa è, a scelte </w:t>
      </w:r>
      <w:r w:rsidR="009614F0">
        <w:rPr>
          <w:rFonts w:ascii="Times New Roman" w:hAnsi="Times New Roman"/>
        </w:rPr>
        <w:t>‒</w:t>
      </w:r>
      <w:r w:rsidRPr="00D25ABF">
        <w:rPr>
          <w:rFonts w:ascii="Times New Roman" w:hAnsi="Times New Roman"/>
        </w:rPr>
        <w:t xml:space="preserve"> ma anche ad errori od omissioni </w:t>
      </w:r>
      <w:r w:rsidR="009614F0">
        <w:rPr>
          <w:rFonts w:ascii="Times New Roman" w:hAnsi="Times New Roman"/>
        </w:rPr>
        <w:t>‒</w:t>
      </w:r>
      <w:r w:rsidRPr="00D25ABF">
        <w:rPr>
          <w:rFonts w:ascii="Times New Roman" w:hAnsi="Times New Roman"/>
        </w:rPr>
        <w:t xml:space="preserve"> che possono impedire  lo svolgimento del giudizio di fronte al giudice costituzionale</w:t>
      </w:r>
      <w:r w:rsidRPr="00D25ABF">
        <w:rPr>
          <w:rStyle w:val="Rimandonotaapidipagina"/>
          <w:rFonts w:ascii="Times New Roman" w:hAnsi="Times New Roman"/>
        </w:rPr>
        <w:footnoteReference w:id="47"/>
      </w:r>
      <w:r w:rsidRPr="00D25ABF">
        <w:rPr>
          <w:rFonts w:ascii="Times New Roman" w:hAnsi="Times New Roman"/>
        </w:rPr>
        <w:t>.</w:t>
      </w:r>
    </w:p>
    <w:p w14:paraId="7AC07623"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In tale prospettiva, finisce per perdere molto del suo rilievo anche l’ulteriore strumento dell’ intervento del terzo nel conflitto, che come è noto, costituisce oggi un ulteriore ausilio a favore di chi, non parte di esso, vanti comunque un suo diretto interesse nel giudizio</w:t>
      </w:r>
      <w:r w:rsidRPr="00D25ABF">
        <w:rPr>
          <w:rStyle w:val="Rimandonotaapidipagina"/>
          <w:rFonts w:ascii="Times New Roman" w:hAnsi="Times New Roman"/>
        </w:rPr>
        <w:footnoteReference w:id="48"/>
      </w:r>
      <w:r w:rsidRPr="00D25ABF">
        <w:rPr>
          <w:rFonts w:ascii="Times New Roman" w:hAnsi="Times New Roman"/>
        </w:rPr>
        <w:t xml:space="preserve">. </w:t>
      </w:r>
    </w:p>
    <w:p w14:paraId="44811BA5"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E’ questo, come è noto, un istituto che, già oggetto di un ampio dibattito in dottrina</w:t>
      </w:r>
      <w:r w:rsidRPr="00D25ABF">
        <w:rPr>
          <w:rStyle w:val="Rimandonotaapidipagina"/>
          <w:rFonts w:ascii="Times New Roman" w:hAnsi="Times New Roman"/>
        </w:rPr>
        <w:footnoteReference w:id="49"/>
      </w:r>
      <w:r w:rsidRPr="00D25ABF">
        <w:rPr>
          <w:rFonts w:ascii="Times New Roman" w:hAnsi="Times New Roman"/>
        </w:rPr>
        <w:t>, ha trovato, proprio nel modello disegnato dalla Corte nella già più volte citata sentenza n. 1150 del 1988, una ulteriore ed importante ragione di sostegno: tant’è che proprio a</w:t>
      </w:r>
      <w:r w:rsidR="002227D1">
        <w:rPr>
          <w:rFonts w:ascii="Times New Roman" w:hAnsi="Times New Roman"/>
        </w:rPr>
        <w:t xml:space="preserve"> </w:t>
      </w:r>
      <w:r w:rsidRPr="00D25ABF">
        <w:rPr>
          <w:rFonts w:ascii="Times New Roman" w:hAnsi="Times New Roman"/>
        </w:rPr>
        <w:t>partire da quella pronuncia si sono regolarmente ripetute le istanze avanzate dai soggetti privati</w:t>
      </w:r>
      <w:r w:rsidRPr="00D25ABF">
        <w:rPr>
          <w:rStyle w:val="Rimandonotaapidipagina"/>
          <w:rFonts w:ascii="Times New Roman" w:hAnsi="Times New Roman"/>
        </w:rPr>
        <w:footnoteReference w:id="50"/>
      </w:r>
      <w:r w:rsidRPr="00D25ABF">
        <w:rPr>
          <w:rFonts w:ascii="Times New Roman" w:hAnsi="Times New Roman"/>
        </w:rPr>
        <w:t xml:space="preserve">.   </w:t>
      </w:r>
    </w:p>
    <w:p w14:paraId="280E5765" w14:textId="77777777" w:rsidR="00175096" w:rsidRPr="00D25ABF" w:rsidRDefault="004079DA" w:rsidP="00D25ABF">
      <w:pPr>
        <w:ind w:firstLine="709"/>
        <w:jc w:val="both"/>
        <w:rPr>
          <w:rFonts w:ascii="Times New Roman" w:hAnsi="Times New Roman"/>
        </w:rPr>
      </w:pPr>
      <w:r>
        <w:rPr>
          <w:rFonts w:ascii="Times New Roman" w:hAnsi="Times New Roman"/>
        </w:rPr>
        <w:t>E’ ormai risalente la sentenza</w:t>
      </w:r>
      <w:r w:rsidR="00175096" w:rsidRPr="00D25ABF">
        <w:rPr>
          <w:rFonts w:ascii="Times New Roman" w:hAnsi="Times New Roman"/>
        </w:rPr>
        <w:t xml:space="preserve"> con la quale il giudice costituzionale, facendo proprie le ragioni avanzate dal terzo leso, ne ammise l’intervento nel conflitto  di attribuzioni sollevato dalla regione Veneto avverso il decreto con il quale il giudice per le indagini preliminari del tribunale di Monza aveva rinviato a giudizio un consigliere regionale, imputato del reato di diffamazione aggravata a mezzo stampa</w:t>
      </w:r>
      <w:r w:rsidR="00175096" w:rsidRPr="00D25ABF">
        <w:rPr>
          <w:rStyle w:val="Rimandonotaapidipagina"/>
          <w:rFonts w:ascii="Times New Roman" w:hAnsi="Times New Roman"/>
        </w:rPr>
        <w:footnoteReference w:id="51"/>
      </w:r>
      <w:r w:rsidR="00175096" w:rsidRPr="00D25ABF">
        <w:rPr>
          <w:rFonts w:ascii="Times New Roman" w:hAnsi="Times New Roman"/>
        </w:rPr>
        <w:t>.</w:t>
      </w:r>
    </w:p>
    <w:p w14:paraId="493B77FC" w14:textId="77777777" w:rsidR="00175096" w:rsidRPr="00D25ABF" w:rsidRDefault="00175096" w:rsidP="00D25ABF">
      <w:pPr>
        <w:ind w:firstLine="709"/>
        <w:jc w:val="both"/>
        <w:rPr>
          <w:rFonts w:ascii="Times New Roman" w:hAnsi="Times New Roman"/>
        </w:rPr>
      </w:pPr>
      <w:r w:rsidRPr="00D25ABF">
        <w:rPr>
          <w:rFonts w:ascii="Times New Roman" w:hAnsi="Times New Roman"/>
        </w:rPr>
        <w:t>Fu proprio in tale sentenza che la Corte, pur non sconfessando il proprio indirizzo (volto, come è noto, a “salvaguardare il tono costituzionale</w:t>
      </w:r>
      <w:r w:rsidR="002227D1">
        <w:rPr>
          <w:rFonts w:ascii="Times New Roman" w:hAnsi="Times New Roman"/>
        </w:rPr>
        <w:t xml:space="preserve"> </w:t>
      </w:r>
      <w:r w:rsidRPr="00D25ABF">
        <w:rPr>
          <w:rFonts w:ascii="Times New Roman" w:hAnsi="Times New Roman"/>
        </w:rPr>
        <w:t xml:space="preserve">dei conflitti” e a far sì che questi “non mettano capo a controversie di diritto comune”),  ammise inopinatamente la prima deroga. E ciò </w:t>
      </w:r>
      <w:r w:rsidR="009614F0">
        <w:rPr>
          <w:rFonts w:ascii="Times New Roman" w:hAnsi="Times New Roman"/>
        </w:rPr>
        <w:t xml:space="preserve">‒ </w:t>
      </w:r>
      <w:r w:rsidRPr="00D25ABF">
        <w:rPr>
          <w:rFonts w:ascii="Times New Roman" w:hAnsi="Times New Roman"/>
        </w:rPr>
        <w:t xml:space="preserve">come sottolineò il giudice costituzionale </w:t>
      </w:r>
      <w:r w:rsidR="009614F0">
        <w:rPr>
          <w:rFonts w:ascii="Times New Roman" w:hAnsi="Times New Roman"/>
        </w:rPr>
        <w:t>‒</w:t>
      </w:r>
      <w:r w:rsidRPr="00D25ABF">
        <w:rPr>
          <w:rFonts w:ascii="Times New Roman" w:hAnsi="Times New Roman"/>
        </w:rPr>
        <w:t xml:space="preserve"> ogni qual volta il diritto di azione e di difesa del soggetto leso risultasse “in radice” compromesso dall’oggetto del conflitto</w:t>
      </w:r>
      <w:r w:rsidR="004079DA">
        <w:rPr>
          <w:rFonts w:ascii="Times New Roman" w:hAnsi="Times New Roman"/>
        </w:rPr>
        <w:t xml:space="preserve"> medesimo</w:t>
      </w:r>
      <w:r w:rsidRPr="00D25ABF">
        <w:rPr>
          <w:rFonts w:ascii="Times New Roman" w:hAnsi="Times New Roman"/>
        </w:rPr>
        <w:t>. E ci</w:t>
      </w:r>
      <w:r w:rsidR="009614F0">
        <w:rPr>
          <w:rFonts w:ascii="Times New Roman" w:hAnsi="Times New Roman"/>
        </w:rPr>
        <w:t xml:space="preserve">oè ogni qual volta esso </w:t>
      </w:r>
      <w:r w:rsidR="009614F0">
        <w:rPr>
          <w:rFonts w:ascii="Times New Roman" w:hAnsi="Times New Roman"/>
        </w:rPr>
        <w:lastRenderedPageBreak/>
        <w:t>fosse «</w:t>
      </w:r>
      <w:r w:rsidRPr="00D25ABF">
        <w:rPr>
          <w:rFonts w:ascii="Times New Roman" w:hAnsi="Times New Roman"/>
        </w:rPr>
        <w:t>tale da coinvolgere, in modo diretto e immediato, situazioni soggettive di terzi il cui pregiudizio o la cui salvaguardia (dipendessero) imprescindibilmente dal</w:t>
      </w:r>
      <w:r w:rsidR="004079DA">
        <w:rPr>
          <w:rFonts w:ascii="Times New Roman" w:hAnsi="Times New Roman"/>
        </w:rPr>
        <w:t xml:space="preserve">l’esito del conflitto </w:t>
      </w:r>
      <w:r w:rsidR="009614F0">
        <w:rPr>
          <w:rFonts w:ascii="Times New Roman" w:hAnsi="Times New Roman"/>
        </w:rPr>
        <w:t>»</w:t>
      </w:r>
      <w:r w:rsidRPr="00D25ABF">
        <w:rPr>
          <w:rStyle w:val="Rimandonotaapidipagina"/>
          <w:rFonts w:ascii="Times New Roman" w:hAnsi="Times New Roman"/>
        </w:rPr>
        <w:footnoteReference w:id="52"/>
      </w:r>
      <w:r w:rsidRPr="00D25ABF">
        <w:rPr>
          <w:rFonts w:ascii="Times New Roman" w:hAnsi="Times New Roman"/>
        </w:rPr>
        <w:t xml:space="preserve"> .</w:t>
      </w:r>
    </w:p>
    <w:p w14:paraId="0976E487" w14:textId="77777777" w:rsidR="00175096" w:rsidRPr="00D25ABF" w:rsidRDefault="00175096" w:rsidP="00D25ABF">
      <w:pPr>
        <w:ind w:firstLine="709"/>
        <w:jc w:val="both"/>
        <w:rPr>
          <w:rFonts w:ascii="Times New Roman" w:hAnsi="Times New Roman"/>
        </w:rPr>
      </w:pPr>
      <w:r w:rsidRPr="00D25ABF">
        <w:rPr>
          <w:rFonts w:ascii="Times New Roman" w:hAnsi="Times New Roman"/>
        </w:rPr>
        <w:t xml:space="preserve">  Questa</w:t>
      </w:r>
      <w:r w:rsidR="00792F32">
        <w:rPr>
          <w:rFonts w:ascii="Times New Roman" w:hAnsi="Times New Roman"/>
        </w:rPr>
        <w:t xml:space="preserve"> </w:t>
      </w:r>
      <w:r w:rsidR="004079DA">
        <w:rPr>
          <w:rFonts w:ascii="Times New Roman" w:hAnsi="Times New Roman"/>
        </w:rPr>
        <w:t xml:space="preserve">giurisprudenza </w:t>
      </w:r>
      <w:r w:rsidRPr="00D25ABF">
        <w:rPr>
          <w:rFonts w:ascii="Times New Roman" w:hAnsi="Times New Roman"/>
        </w:rPr>
        <w:t>è stata poi applicata</w:t>
      </w:r>
      <w:r w:rsidR="00792F32">
        <w:rPr>
          <w:rFonts w:ascii="Times New Roman" w:hAnsi="Times New Roman"/>
        </w:rPr>
        <w:t xml:space="preserve"> </w:t>
      </w:r>
      <w:r w:rsidRPr="00D25ABF">
        <w:rPr>
          <w:rFonts w:ascii="Times New Roman" w:hAnsi="Times New Roman"/>
        </w:rPr>
        <w:t>nei giudizi</w:t>
      </w:r>
      <w:r w:rsidR="00792F32">
        <w:rPr>
          <w:rFonts w:ascii="Times New Roman" w:hAnsi="Times New Roman"/>
        </w:rPr>
        <w:t xml:space="preserve"> </w:t>
      </w:r>
      <w:r w:rsidRPr="00D25ABF">
        <w:rPr>
          <w:rFonts w:ascii="Times New Roman" w:hAnsi="Times New Roman"/>
        </w:rPr>
        <w:t>in materia di insindacabilità dei membri delle Camere e potrebbe essere facilmente estesa anche ai casi relativi ai possibili conflitti in materia di autodichia degli organi parlamentari, dove si ripetono i presupposti indicati dal giudice costituzionale nelle sue pronunce.</w:t>
      </w:r>
      <w:r w:rsidR="00792F32">
        <w:rPr>
          <w:rFonts w:ascii="Times New Roman" w:hAnsi="Times New Roman"/>
        </w:rPr>
        <w:t xml:space="preserve"> </w:t>
      </w:r>
      <w:r w:rsidRPr="00D25ABF">
        <w:rPr>
          <w:rFonts w:ascii="Times New Roman" w:hAnsi="Times New Roman"/>
        </w:rPr>
        <w:t>E ciò nonostante che</w:t>
      </w:r>
      <w:r w:rsidR="004079DA">
        <w:rPr>
          <w:rFonts w:ascii="Times New Roman" w:hAnsi="Times New Roman"/>
        </w:rPr>
        <w:t xml:space="preserve"> </w:t>
      </w:r>
      <w:r w:rsidRPr="00D25ABF">
        <w:rPr>
          <w:rFonts w:ascii="Times New Roman" w:hAnsi="Times New Roman"/>
        </w:rPr>
        <w:t>tale ammissione in giudizio,</w:t>
      </w:r>
      <w:r w:rsidR="004079DA">
        <w:rPr>
          <w:rFonts w:ascii="Times New Roman" w:hAnsi="Times New Roman"/>
        </w:rPr>
        <w:t xml:space="preserve"> ben lontano dall’essere ormai </w:t>
      </w:r>
      <w:r w:rsidRPr="00D25ABF">
        <w:rPr>
          <w:rFonts w:ascii="Times New Roman" w:hAnsi="Times New Roman"/>
        </w:rPr>
        <w:t xml:space="preserve">definitivamente assicurata,  si </w:t>
      </w:r>
      <w:r w:rsidR="00792F32">
        <w:rPr>
          <w:rFonts w:ascii="Times New Roman" w:hAnsi="Times New Roman"/>
        </w:rPr>
        <w:t xml:space="preserve">configuri ancora come una mera </w:t>
      </w:r>
      <w:r w:rsidRPr="00D25ABF">
        <w:rPr>
          <w:rFonts w:ascii="Times New Roman" w:hAnsi="Times New Roman"/>
        </w:rPr>
        <w:t>“eccezione”</w:t>
      </w:r>
      <w:r w:rsidRPr="00D25ABF">
        <w:rPr>
          <w:rStyle w:val="Rimandonotaapidipagina"/>
          <w:rFonts w:ascii="Times New Roman" w:hAnsi="Times New Roman"/>
        </w:rPr>
        <w:footnoteReference w:id="53"/>
      </w:r>
      <w:r w:rsidRPr="00D25ABF">
        <w:rPr>
          <w:rFonts w:ascii="Times New Roman" w:hAnsi="Times New Roman"/>
        </w:rPr>
        <w:t xml:space="preserve">, non </w:t>
      </w:r>
      <w:r w:rsidR="004079DA">
        <w:rPr>
          <w:rFonts w:ascii="Times New Roman" w:hAnsi="Times New Roman"/>
        </w:rPr>
        <w:t xml:space="preserve">facilmente </w:t>
      </w:r>
      <w:r w:rsidRPr="00D25ABF">
        <w:rPr>
          <w:rFonts w:ascii="Times New Roman" w:hAnsi="Times New Roman"/>
        </w:rPr>
        <w:t>estendibile in via ordinaria.</w:t>
      </w:r>
    </w:p>
    <w:p w14:paraId="3129CAB0" w14:textId="77777777" w:rsidR="00175096" w:rsidRDefault="00175096" w:rsidP="00D25ABF">
      <w:pPr>
        <w:ind w:firstLine="709"/>
        <w:jc w:val="both"/>
        <w:rPr>
          <w:rFonts w:ascii="Times New Roman" w:hAnsi="Times New Roman"/>
        </w:rPr>
      </w:pPr>
      <w:r w:rsidRPr="00D25ABF">
        <w:rPr>
          <w:rFonts w:ascii="Times New Roman" w:hAnsi="Times New Roman"/>
        </w:rPr>
        <w:t xml:space="preserve">    Dipenderanno dal modo in cui saranno risolti i primi giudizi le risposte che saranno date alle questioni appena prospettate; risposte che misureranno anche la reale portata della “svolta” impressa dalla Corte alla giurisprudenza in materia di autodichia.</w:t>
      </w:r>
    </w:p>
    <w:p w14:paraId="0D94E62B" w14:textId="26548740" w:rsidR="00845E55" w:rsidRDefault="00845E55" w:rsidP="00845E55">
      <w:pPr>
        <w:jc w:val="both"/>
        <w:rPr>
          <w:b/>
        </w:rPr>
      </w:pPr>
      <w:r>
        <w:rPr>
          <w:b/>
        </w:rPr>
        <w:t xml:space="preserve">                  Né, d’altra parte, si dovrà attendere  troppo tempo per sciogliere i molti quesiti prospettati.</w:t>
      </w:r>
    </w:p>
    <w:p w14:paraId="244EBB44" w14:textId="528EB507" w:rsidR="00845E55" w:rsidRDefault="00845E55" w:rsidP="00845E55">
      <w:pPr>
        <w:jc w:val="both"/>
        <w:rPr>
          <w:b/>
        </w:rPr>
      </w:pPr>
      <w:r>
        <w:rPr>
          <w:b/>
        </w:rPr>
        <w:t xml:space="preserve">                  E’ un fatto che, sulla scia della nuova apertura offerta dal giudice costituzionale</w:t>
      </w:r>
      <w:r w:rsidR="005B65CD">
        <w:rPr>
          <w:b/>
        </w:rPr>
        <w:t>,</w:t>
      </w:r>
      <w:r>
        <w:rPr>
          <w:b/>
        </w:rPr>
        <w:t xml:space="preserve"> la Corte di cassazione, accogliendo diligentemente l’invito appena fattole, è tornata sul caso che aveva portato alla sentenza del 2014, trasformando la controversia da </w:t>
      </w:r>
      <w:r w:rsidR="005B65CD">
        <w:rPr>
          <w:b/>
        </w:rPr>
        <w:t xml:space="preserve"> un </w:t>
      </w:r>
      <w:r>
        <w:rPr>
          <w:b/>
        </w:rPr>
        <w:t>giudizio in via incidentale</w:t>
      </w:r>
      <w:r w:rsidR="005B65CD">
        <w:rPr>
          <w:b/>
        </w:rPr>
        <w:t>,</w:t>
      </w:r>
      <w:r>
        <w:rPr>
          <w:b/>
        </w:rPr>
        <w:t xml:space="preserve"> in un conflitto di attribuzioni</w:t>
      </w:r>
      <w:r>
        <w:rPr>
          <w:rStyle w:val="Rimandonotaapidipagina"/>
          <w:b/>
        </w:rPr>
        <w:footnoteReference w:id="54"/>
      </w:r>
      <w:r>
        <w:rPr>
          <w:b/>
        </w:rPr>
        <w:t>.</w:t>
      </w:r>
    </w:p>
    <w:p w14:paraId="7B72E9A7" w14:textId="47E95FA5" w:rsidR="00845E55" w:rsidRPr="008B44A4" w:rsidRDefault="00845E55" w:rsidP="00845E55">
      <w:pPr>
        <w:pStyle w:val="Testonotaapidipagina"/>
        <w:jc w:val="both"/>
        <w:rPr>
          <w:b/>
        </w:rPr>
      </w:pPr>
      <w:r w:rsidRPr="008B44A4">
        <w:rPr>
          <w:b/>
        </w:rPr>
        <w:t xml:space="preserve">     </w:t>
      </w:r>
      <w:r>
        <w:rPr>
          <w:b/>
        </w:rPr>
        <w:t xml:space="preserve">           </w:t>
      </w:r>
      <w:r w:rsidRPr="008B44A4">
        <w:rPr>
          <w:b/>
        </w:rPr>
        <w:t>Ma no</w:t>
      </w:r>
      <w:r>
        <w:rPr>
          <w:b/>
        </w:rPr>
        <w:t xml:space="preserve">n solo, a distanza di circa un </w:t>
      </w:r>
      <w:r w:rsidRPr="008B44A4">
        <w:rPr>
          <w:b/>
        </w:rPr>
        <w:t>mese, seguiva un secondo rinv</w:t>
      </w:r>
      <w:r w:rsidR="005B65CD">
        <w:rPr>
          <w:b/>
        </w:rPr>
        <w:t>io per conflitto di attribuzioni</w:t>
      </w:r>
      <w:r w:rsidRPr="008B44A4">
        <w:rPr>
          <w:b/>
        </w:rPr>
        <w:t>,  sollevato, sempre dal giudice di Cassazione</w:t>
      </w:r>
      <w:r w:rsidR="005B65CD">
        <w:rPr>
          <w:b/>
        </w:rPr>
        <w:t>,</w:t>
      </w:r>
      <w:r w:rsidRPr="008B44A4">
        <w:rPr>
          <w:b/>
        </w:rPr>
        <w:t xml:space="preserve"> nei confronti, questa volta, del Segretariato generale della Presidenza della Repubblica. </w:t>
      </w:r>
    </w:p>
    <w:p w14:paraId="027AB697" w14:textId="49CA8CB1" w:rsidR="00845E55" w:rsidRPr="008B44A4" w:rsidRDefault="00845E55" w:rsidP="00845E55">
      <w:pPr>
        <w:pStyle w:val="Testonotaapidipagina"/>
        <w:jc w:val="both"/>
        <w:rPr>
          <w:b/>
        </w:rPr>
      </w:pPr>
      <w:r>
        <w:rPr>
          <w:b/>
        </w:rPr>
        <w:t xml:space="preserve">                </w:t>
      </w:r>
      <w:r w:rsidRPr="008B44A4">
        <w:rPr>
          <w:b/>
        </w:rPr>
        <w:t>Il giudice di legittimità, attivato ex art. 111, comma 7, della Costituzione da alcuni dipendenti dell’Amministrazione presidenziale avverso la decisione del Collegio di appello del Segretariato, contestava il preteso regime di  autodichia eccepito in giudizio e sollevava, negli stessi termini, un nuovo conflitto</w:t>
      </w:r>
      <w:r>
        <w:rPr>
          <w:rStyle w:val="Rimandonotaapidipagina"/>
          <w:b/>
        </w:rPr>
        <w:footnoteReference w:id="55"/>
      </w:r>
      <w:r w:rsidRPr="008B44A4">
        <w:rPr>
          <w:b/>
        </w:rPr>
        <w:t xml:space="preserve">. </w:t>
      </w:r>
    </w:p>
    <w:p w14:paraId="38BB6957" w14:textId="63D24061" w:rsidR="00845E55" w:rsidRPr="008B44A4" w:rsidRDefault="00845E55" w:rsidP="00845E55">
      <w:pPr>
        <w:pStyle w:val="Testonotaapidipagina"/>
        <w:jc w:val="both"/>
        <w:rPr>
          <w:b/>
        </w:rPr>
      </w:pPr>
      <w:r>
        <w:rPr>
          <w:b/>
        </w:rPr>
        <w:t xml:space="preserve">                </w:t>
      </w:r>
      <w:r w:rsidRPr="008B44A4">
        <w:rPr>
          <w:b/>
        </w:rPr>
        <w:t>Ed ancora</w:t>
      </w:r>
      <w:r>
        <w:rPr>
          <w:b/>
        </w:rPr>
        <w:t>,</w:t>
      </w:r>
      <w:r w:rsidRPr="008B44A4">
        <w:rPr>
          <w:b/>
        </w:rPr>
        <w:t xml:space="preserve"> sempre la  Corte di cassazione, proseguendo nell’azi</w:t>
      </w:r>
      <w:r>
        <w:rPr>
          <w:b/>
        </w:rPr>
        <w:t xml:space="preserve">one di pervicace contestazione </w:t>
      </w:r>
      <w:r w:rsidRPr="008B44A4">
        <w:rPr>
          <w:b/>
        </w:rPr>
        <w:t>dell’autodichia riconosciuta agli organi costituzionali, ha posto le premesse per la nascita</w:t>
      </w:r>
      <w:r w:rsidR="00C1681B">
        <w:rPr>
          <w:b/>
        </w:rPr>
        <w:t xml:space="preserve"> di nuovo conflitto, riservando</w:t>
      </w:r>
      <w:r w:rsidRPr="008B44A4">
        <w:rPr>
          <w:b/>
        </w:rPr>
        <w:t xml:space="preserve">,  questa volta, </w:t>
      </w:r>
      <w:r w:rsidR="00C1681B">
        <w:rPr>
          <w:b/>
        </w:rPr>
        <w:t>alle assemblee parlamentari il ruolo della parte attrice</w:t>
      </w:r>
      <w:r w:rsidRPr="008B44A4">
        <w:rPr>
          <w:b/>
        </w:rPr>
        <w:t>.</w:t>
      </w:r>
    </w:p>
    <w:p w14:paraId="08C50813" w14:textId="7B350478" w:rsidR="00845E55" w:rsidRDefault="00845E55" w:rsidP="00845E55">
      <w:pPr>
        <w:pStyle w:val="Testonotaapidipagina"/>
        <w:jc w:val="both"/>
        <w:rPr>
          <w:b/>
        </w:rPr>
      </w:pPr>
      <w:r w:rsidRPr="008B44A4">
        <w:rPr>
          <w:b/>
        </w:rPr>
        <w:t xml:space="preserve"> </w:t>
      </w:r>
      <w:r w:rsidR="00D7091B">
        <w:rPr>
          <w:b/>
        </w:rPr>
        <w:t xml:space="preserve">              </w:t>
      </w:r>
      <w:r w:rsidRPr="008B44A4">
        <w:rPr>
          <w:b/>
        </w:rPr>
        <w:t xml:space="preserve">Essa, investita, in sede di regolamento preventivo di giurisdizione, di una questione legata al rapporto di lavoro di alcuni dipendenti di gruppi parlamentari del Senato, i quali erano stati stabilizzati dall’Amministrazione camerale,  ha negato la giurisdizione degli organi interni alle Camere, </w:t>
      </w:r>
      <w:r w:rsidR="00D7091B">
        <w:rPr>
          <w:b/>
        </w:rPr>
        <w:t xml:space="preserve">trasferendo la controversia davanti </w:t>
      </w:r>
      <w:r w:rsidRPr="008B44A4">
        <w:rPr>
          <w:b/>
        </w:rPr>
        <w:t>al giudice ordinario</w:t>
      </w:r>
      <w:r w:rsidR="00D7091B">
        <w:rPr>
          <w:b/>
        </w:rPr>
        <w:t>, ritenuto l’unico</w:t>
      </w:r>
      <w:r w:rsidRPr="008B44A4">
        <w:rPr>
          <w:b/>
        </w:rPr>
        <w:t xml:space="preserve"> competente a giudicare</w:t>
      </w:r>
      <w:r w:rsidR="00D7091B">
        <w:rPr>
          <w:rStyle w:val="Rimandonotaapidipagina"/>
          <w:b/>
        </w:rPr>
        <w:footnoteReference w:id="56"/>
      </w:r>
      <w:r w:rsidRPr="008B44A4">
        <w:rPr>
          <w:b/>
        </w:rPr>
        <w:t xml:space="preserve"> </w:t>
      </w:r>
      <w:r w:rsidR="00D7091B">
        <w:rPr>
          <w:b/>
        </w:rPr>
        <w:t>.</w:t>
      </w:r>
    </w:p>
    <w:p w14:paraId="12E4BF3A" w14:textId="61A69E4B" w:rsidR="00845E55" w:rsidRDefault="00946DBC" w:rsidP="00845E55">
      <w:pPr>
        <w:jc w:val="both"/>
        <w:rPr>
          <w:b/>
        </w:rPr>
      </w:pPr>
      <w:r>
        <w:rPr>
          <w:b/>
        </w:rPr>
        <w:t xml:space="preserve">         </w:t>
      </w:r>
      <w:r w:rsidRPr="008B44A4">
        <w:rPr>
          <w:b/>
        </w:rPr>
        <w:t>Così</w:t>
      </w:r>
      <w:r w:rsidR="00C1681B">
        <w:rPr>
          <w:b/>
        </w:rPr>
        <w:t xml:space="preserve"> stando le cose, nella non</w:t>
      </w:r>
      <w:r w:rsidRPr="008B44A4">
        <w:rPr>
          <w:b/>
        </w:rPr>
        <w:t xml:space="preserve"> remota possibilità che la Corte (e forse, </w:t>
      </w:r>
      <w:r>
        <w:rPr>
          <w:b/>
        </w:rPr>
        <w:t xml:space="preserve">perché no, </w:t>
      </w:r>
      <w:r w:rsidR="00DD5A37">
        <w:rPr>
          <w:b/>
        </w:rPr>
        <w:t>lo stesso legislatore</w:t>
      </w:r>
      <w:r w:rsidRPr="008B44A4">
        <w:rPr>
          <w:rStyle w:val="Rimandonotaapidipagina"/>
          <w:b/>
        </w:rPr>
        <w:footnoteReference w:id="57"/>
      </w:r>
      <w:r w:rsidRPr="008B44A4">
        <w:rPr>
          <w:b/>
        </w:rPr>
        <w:t>), possano intervenire in materia</w:t>
      </w:r>
      <w:r w:rsidRPr="008B44A4">
        <w:rPr>
          <w:rStyle w:val="Rimandonotaapidipagina"/>
          <w:b/>
        </w:rPr>
        <w:footnoteReference w:id="58"/>
      </w:r>
      <w:r w:rsidRPr="008B44A4">
        <w:rPr>
          <w:b/>
        </w:rPr>
        <w:t xml:space="preserve">, ci paiono tutt’altro che </w:t>
      </w:r>
      <w:r w:rsidRPr="008B44A4">
        <w:rPr>
          <w:b/>
        </w:rPr>
        <w:lastRenderedPageBreak/>
        <w:t>trascurabili  le osservazioni di chi, commentando la sentenza in esame, ha messo in evidenza come, dalle motivazioni del giudice costituzionale,</w:t>
      </w:r>
      <w:r>
        <w:rPr>
          <w:b/>
        </w:rPr>
        <w:t xml:space="preserve"> potesse </w:t>
      </w:r>
      <w:r w:rsidRPr="008B44A4">
        <w:rPr>
          <w:b/>
        </w:rPr>
        <w:t xml:space="preserve">emergere </w:t>
      </w:r>
      <w:r>
        <w:rPr>
          <w:b/>
        </w:rPr>
        <w:t xml:space="preserve">l’indicazione di una diversa e più </w:t>
      </w:r>
      <w:r w:rsidRPr="008B44A4">
        <w:rPr>
          <w:b/>
        </w:rPr>
        <w:t xml:space="preserve">radicale impostazione del problema, che </w:t>
      </w:r>
      <w:r>
        <w:rPr>
          <w:b/>
        </w:rPr>
        <w:t>potrebbe risolvere</w:t>
      </w:r>
      <w:r w:rsidRPr="008B44A4">
        <w:rPr>
          <w:b/>
        </w:rPr>
        <w:t xml:space="preserve"> alla radice ogni questione</w:t>
      </w:r>
      <w:r w:rsidRPr="008B44A4">
        <w:rPr>
          <w:rStyle w:val="Rimandonotaapidipagina"/>
          <w:b/>
        </w:rPr>
        <w:footnoteReference w:id="59"/>
      </w:r>
      <w:r w:rsidRPr="008B44A4">
        <w:rPr>
          <w:b/>
        </w:rPr>
        <w:t xml:space="preserve">. </w:t>
      </w:r>
    </w:p>
    <w:p w14:paraId="72708E61" w14:textId="039A6CA2" w:rsidR="00175096" w:rsidRDefault="00175096" w:rsidP="00D25ABF">
      <w:pPr>
        <w:ind w:firstLine="709"/>
        <w:jc w:val="both"/>
        <w:rPr>
          <w:rFonts w:ascii="Times New Roman" w:hAnsi="Times New Roman"/>
        </w:rPr>
      </w:pPr>
      <w:r w:rsidRPr="00D25ABF">
        <w:rPr>
          <w:rFonts w:ascii="Times New Roman" w:hAnsi="Times New Roman"/>
        </w:rPr>
        <w:t>Si è così messo in e</w:t>
      </w:r>
      <w:r w:rsidR="00062C74">
        <w:rPr>
          <w:rFonts w:ascii="Times New Roman" w:hAnsi="Times New Roman"/>
        </w:rPr>
        <w:t xml:space="preserve">videnza come, nelle pieghe del ragionamento </w:t>
      </w:r>
      <w:r w:rsidRPr="00D25ABF">
        <w:rPr>
          <w:rFonts w:ascii="Times New Roman" w:hAnsi="Times New Roman"/>
        </w:rPr>
        <w:t>della Corte,  si potesse addirittura scorgere il segno di una opzione</w:t>
      </w:r>
      <w:r w:rsidR="009614F0">
        <w:rPr>
          <w:rFonts w:ascii="Times New Roman" w:hAnsi="Times New Roman"/>
        </w:rPr>
        <w:t xml:space="preserve"> nel senso di riconoscere alla </w:t>
      </w:r>
      <w:r w:rsidRPr="00D25ABF">
        <w:rPr>
          <w:rFonts w:ascii="Times New Roman" w:hAnsi="Times New Roman"/>
        </w:rPr>
        <w:t>giurisdizione domestica delle Camere la natura di una vera e propria giurisdizione speciale. Una giurisdizione che, evidentemente preesistente alla Costituzione, sarebbe perpetrabile – nei soli riguardi dei dipendenti – attraverso un sua revisione da parte del legislatore  ex</w:t>
      </w:r>
      <w:r w:rsidR="00792F32">
        <w:rPr>
          <w:rFonts w:ascii="Times New Roman" w:hAnsi="Times New Roman"/>
        </w:rPr>
        <w:t xml:space="preserve"> </w:t>
      </w:r>
      <w:r w:rsidRPr="00D25ABF">
        <w:rPr>
          <w:rFonts w:ascii="Times New Roman" w:hAnsi="Times New Roman"/>
        </w:rPr>
        <w:t xml:space="preserve">VI </w:t>
      </w:r>
      <w:proofErr w:type="spellStart"/>
      <w:r w:rsidRPr="00D25ABF">
        <w:rPr>
          <w:rFonts w:ascii="Times New Roman" w:hAnsi="Times New Roman"/>
        </w:rPr>
        <w:t>disp</w:t>
      </w:r>
      <w:proofErr w:type="spellEnd"/>
      <w:r w:rsidRPr="00D25ABF">
        <w:rPr>
          <w:rFonts w:ascii="Times New Roman" w:hAnsi="Times New Roman"/>
        </w:rPr>
        <w:t>. tran. fin. della Costituzione.</w:t>
      </w:r>
    </w:p>
    <w:p w14:paraId="328148B2" w14:textId="3FC370E5" w:rsidR="00D22A65" w:rsidRPr="008B44A4" w:rsidRDefault="00D22A65" w:rsidP="00D22A65">
      <w:pPr>
        <w:jc w:val="both"/>
        <w:rPr>
          <w:b/>
        </w:rPr>
      </w:pPr>
      <w:r>
        <w:rPr>
          <w:b/>
        </w:rPr>
        <w:t xml:space="preserve">              </w:t>
      </w:r>
      <w:r w:rsidR="00531DC6">
        <w:rPr>
          <w:b/>
        </w:rPr>
        <w:t>L’ipotesi, affatto</w:t>
      </w:r>
      <w:r w:rsidRPr="008B44A4">
        <w:rPr>
          <w:b/>
        </w:rPr>
        <w:t xml:space="preserve"> nuova</w:t>
      </w:r>
      <w:r>
        <w:rPr>
          <w:b/>
        </w:rPr>
        <w:t xml:space="preserve"> (</w:t>
      </w:r>
      <w:r w:rsidRPr="008B44A4">
        <w:rPr>
          <w:b/>
        </w:rPr>
        <w:t xml:space="preserve">e già, a suo tempo, prospettata dalla stessa Cassazione </w:t>
      </w:r>
      <w:r w:rsidRPr="008B44A4">
        <w:rPr>
          <w:rStyle w:val="Rimandonotaapidipagina"/>
          <w:b/>
        </w:rPr>
        <w:footnoteReference w:id="60"/>
      </w:r>
      <w:r w:rsidRPr="008B44A4">
        <w:rPr>
          <w:b/>
        </w:rPr>
        <w:t>, che volentieri l’ha ripresa in sede di conflitto</w:t>
      </w:r>
      <w:r>
        <w:rPr>
          <w:b/>
        </w:rPr>
        <w:t>)</w:t>
      </w:r>
      <w:r w:rsidRPr="008B44A4">
        <w:rPr>
          <w:b/>
        </w:rPr>
        <w:t>, avrebbe quale immed</w:t>
      </w:r>
      <w:r w:rsidR="00531DC6">
        <w:rPr>
          <w:b/>
        </w:rPr>
        <w:t>iata conseguenza quella</w:t>
      </w:r>
      <w:r w:rsidR="00062C74">
        <w:rPr>
          <w:b/>
        </w:rPr>
        <w:t xml:space="preserve"> di affidare</w:t>
      </w:r>
      <w:r w:rsidRPr="008B44A4">
        <w:rPr>
          <w:b/>
        </w:rPr>
        <w:t xml:space="preserve"> non più ai regolamenti</w:t>
      </w:r>
      <w:r w:rsidR="00C1681B">
        <w:rPr>
          <w:b/>
        </w:rPr>
        <w:t xml:space="preserve"> parlamentari, ma alla legge</w:t>
      </w:r>
      <w:r w:rsidRPr="008B44A4">
        <w:rPr>
          <w:b/>
        </w:rPr>
        <w:t xml:space="preserve"> il compito disciplinare l’intera materia nel rispetto dei canoni fissati dall’art. 108 </w:t>
      </w:r>
      <w:proofErr w:type="spellStart"/>
      <w:r w:rsidRPr="008B44A4">
        <w:rPr>
          <w:b/>
        </w:rPr>
        <w:t>Cost</w:t>
      </w:r>
      <w:proofErr w:type="spellEnd"/>
      <w:r w:rsidRPr="008B44A4">
        <w:rPr>
          <w:b/>
        </w:rPr>
        <w:t xml:space="preserve">. </w:t>
      </w:r>
    </w:p>
    <w:p w14:paraId="73878EE1" w14:textId="6239C664" w:rsidR="00D22A65" w:rsidRPr="00D25ABF" w:rsidRDefault="00D22A65" w:rsidP="00D22A65">
      <w:pPr>
        <w:jc w:val="both"/>
        <w:rPr>
          <w:rFonts w:ascii="Times New Roman" w:hAnsi="Times New Roman"/>
        </w:rPr>
      </w:pPr>
      <w:r w:rsidRPr="008B44A4">
        <w:rPr>
          <w:b/>
        </w:rPr>
        <w:t xml:space="preserve">    </w:t>
      </w:r>
      <w:r>
        <w:rPr>
          <w:b/>
        </w:rPr>
        <w:t xml:space="preserve">           </w:t>
      </w:r>
      <w:r w:rsidR="00062C74">
        <w:rPr>
          <w:b/>
        </w:rPr>
        <w:t>In tale</w:t>
      </w:r>
      <w:r w:rsidRPr="008B44A4">
        <w:rPr>
          <w:b/>
        </w:rPr>
        <w:t xml:space="preserve"> prospettiva, sia pure negata la giurisdiz</w:t>
      </w:r>
      <w:r>
        <w:rPr>
          <w:b/>
        </w:rPr>
        <w:t>ione del giudice ordinario (o del</w:t>
      </w:r>
      <w:r w:rsidRPr="008B44A4">
        <w:rPr>
          <w:b/>
        </w:rPr>
        <w:t xml:space="preserve"> giudice amministrativo),  </w:t>
      </w:r>
      <w:r>
        <w:rPr>
          <w:b/>
        </w:rPr>
        <w:t>sarebbe</w:t>
      </w:r>
      <w:r w:rsidRPr="008B44A4">
        <w:rPr>
          <w:b/>
        </w:rPr>
        <w:t xml:space="preserve"> comunque riconosciuto ai soggetti  interessati la possibilità di vigilare sulla legittimità e corret</w:t>
      </w:r>
      <w:r>
        <w:rPr>
          <w:b/>
        </w:rPr>
        <w:t>tezza delle pr</w:t>
      </w:r>
      <w:r w:rsidR="00C1681B">
        <w:rPr>
          <w:b/>
        </w:rPr>
        <w:t>ocedure adottate</w:t>
      </w:r>
      <w:r w:rsidR="00062C74">
        <w:rPr>
          <w:b/>
        </w:rPr>
        <w:t xml:space="preserve"> attraverso il ricorso</w:t>
      </w:r>
      <w:r w:rsidRPr="008B44A4">
        <w:rPr>
          <w:b/>
        </w:rPr>
        <w:t xml:space="preserve"> in Cassazione per violazione di leg</w:t>
      </w:r>
      <w:r>
        <w:rPr>
          <w:b/>
        </w:rPr>
        <w:t>ge e, se del caso,</w:t>
      </w:r>
      <w:r w:rsidRPr="008B44A4">
        <w:rPr>
          <w:b/>
        </w:rPr>
        <w:t xml:space="preserve"> </w:t>
      </w:r>
      <w:r>
        <w:rPr>
          <w:b/>
        </w:rPr>
        <w:t>sollevando in quella sede</w:t>
      </w:r>
      <w:r w:rsidRPr="008B44A4">
        <w:rPr>
          <w:b/>
        </w:rPr>
        <w:t xml:space="preserve"> eventuali questioni di legittimità della legge medesima.</w:t>
      </w:r>
    </w:p>
    <w:p w14:paraId="5AD212CE" w14:textId="03716CDD" w:rsidR="00175096" w:rsidRPr="00D25ABF" w:rsidRDefault="00175096" w:rsidP="00D25ABF">
      <w:pPr>
        <w:ind w:firstLine="709"/>
        <w:jc w:val="both"/>
        <w:rPr>
          <w:rFonts w:ascii="Times New Roman" w:hAnsi="Times New Roman"/>
        </w:rPr>
      </w:pPr>
      <w:r w:rsidRPr="00D25ABF">
        <w:rPr>
          <w:rFonts w:ascii="Times New Roman" w:hAnsi="Times New Roman"/>
        </w:rPr>
        <w:t xml:space="preserve">Con questa soluzione </w:t>
      </w:r>
      <w:r w:rsidR="009614F0">
        <w:rPr>
          <w:rFonts w:ascii="Times New Roman" w:hAnsi="Times New Roman"/>
        </w:rPr>
        <w:t>‒</w:t>
      </w:r>
      <w:r w:rsidRPr="00D25ABF">
        <w:rPr>
          <w:rFonts w:ascii="Times New Roman" w:hAnsi="Times New Roman"/>
        </w:rPr>
        <w:t xml:space="preserve"> si è sottolineato </w:t>
      </w:r>
      <w:r w:rsidR="009614F0">
        <w:rPr>
          <w:rFonts w:ascii="Times New Roman" w:hAnsi="Times New Roman"/>
        </w:rPr>
        <w:t>‒</w:t>
      </w:r>
      <w:r w:rsidRPr="00D25ABF">
        <w:rPr>
          <w:rFonts w:ascii="Times New Roman" w:hAnsi="Times New Roman"/>
        </w:rPr>
        <w:t xml:space="preserve"> certo</w:t>
      </w:r>
      <w:r w:rsidR="00792F32">
        <w:rPr>
          <w:rFonts w:ascii="Times New Roman" w:hAnsi="Times New Roman"/>
        </w:rPr>
        <w:t xml:space="preserve"> </w:t>
      </w:r>
      <w:r w:rsidRPr="00D25ABF">
        <w:rPr>
          <w:rFonts w:ascii="Times New Roman" w:hAnsi="Times New Roman"/>
        </w:rPr>
        <w:t xml:space="preserve">non si </w:t>
      </w:r>
      <w:proofErr w:type="spellStart"/>
      <w:r w:rsidRPr="00D25ABF">
        <w:rPr>
          <w:rFonts w:ascii="Times New Roman" w:hAnsi="Times New Roman"/>
        </w:rPr>
        <w:t>intravederebbe</w:t>
      </w:r>
      <w:proofErr w:type="spellEnd"/>
      <w:r w:rsidRPr="00D25ABF">
        <w:rPr>
          <w:rFonts w:ascii="Times New Roman" w:hAnsi="Times New Roman"/>
        </w:rPr>
        <w:t xml:space="preserve"> l’affermazione della “grande regola dello Stato di diritto”, pure evocata dalla Corte in questa pronuncia, ma si scorgerebbe almeno un ragionevole (e auspicabilmente transitorio) compromesso tra le ragioni della tradizione e quelle della Costituzione, che l’autodichia  ora non contempla</w:t>
      </w:r>
      <w:r w:rsidRPr="00D25ABF">
        <w:rPr>
          <w:rStyle w:val="Rimandonotaapidipagina"/>
          <w:rFonts w:ascii="Times New Roman" w:hAnsi="Times New Roman"/>
        </w:rPr>
        <w:footnoteReference w:id="61"/>
      </w:r>
      <w:r w:rsidRPr="00D25ABF">
        <w:rPr>
          <w:rFonts w:ascii="Times New Roman" w:hAnsi="Times New Roman"/>
        </w:rPr>
        <w:t>.</w:t>
      </w:r>
    </w:p>
    <w:p w14:paraId="482851F6" w14:textId="0DB0CB74" w:rsidR="00175096" w:rsidRPr="00D25ABF" w:rsidRDefault="00062C74" w:rsidP="00D25ABF">
      <w:pPr>
        <w:ind w:firstLine="709"/>
        <w:jc w:val="both"/>
        <w:rPr>
          <w:rFonts w:ascii="Times New Roman" w:hAnsi="Times New Roman"/>
        </w:rPr>
      </w:pPr>
      <w:r>
        <w:rPr>
          <w:rFonts w:ascii="Times New Roman" w:hAnsi="Times New Roman"/>
        </w:rPr>
        <w:t xml:space="preserve">    Con tali</w:t>
      </w:r>
      <w:r w:rsidR="00CA46F8">
        <w:rPr>
          <w:rFonts w:ascii="Times New Roman" w:hAnsi="Times New Roman"/>
        </w:rPr>
        <w:t xml:space="preserve"> </w:t>
      </w:r>
      <w:r w:rsidR="00175096" w:rsidRPr="00D25ABF">
        <w:rPr>
          <w:rFonts w:ascii="Times New Roman" w:hAnsi="Times New Roman"/>
        </w:rPr>
        <w:t>osservazioni</w:t>
      </w:r>
      <w:r w:rsidR="00792F32">
        <w:rPr>
          <w:rFonts w:ascii="Times New Roman" w:hAnsi="Times New Roman"/>
        </w:rPr>
        <w:t xml:space="preserve"> </w:t>
      </w:r>
      <w:r w:rsidR="00CA46F8">
        <w:rPr>
          <w:rFonts w:ascii="Times New Roman" w:hAnsi="Times New Roman"/>
        </w:rPr>
        <w:t xml:space="preserve">mi pare </w:t>
      </w:r>
      <w:r w:rsidR="00175096" w:rsidRPr="00D25ABF">
        <w:rPr>
          <w:rFonts w:ascii="Times New Roman" w:hAnsi="Times New Roman"/>
        </w:rPr>
        <w:t xml:space="preserve">si possa concludere il nostro lavoro. </w:t>
      </w:r>
    </w:p>
    <w:p w14:paraId="4DDD1E23" w14:textId="13B0C841" w:rsidR="00175096" w:rsidRPr="00D25ABF" w:rsidRDefault="00CA46F8" w:rsidP="00D25ABF">
      <w:pPr>
        <w:ind w:firstLine="709"/>
        <w:jc w:val="both"/>
        <w:rPr>
          <w:rFonts w:ascii="Times New Roman" w:hAnsi="Times New Roman"/>
        </w:rPr>
      </w:pPr>
      <w:r>
        <w:rPr>
          <w:rFonts w:ascii="Times New Roman" w:hAnsi="Times New Roman"/>
        </w:rPr>
        <w:t xml:space="preserve">    </w:t>
      </w:r>
      <w:r w:rsidR="00175096" w:rsidRPr="00D25ABF">
        <w:rPr>
          <w:rFonts w:ascii="Times New Roman" w:hAnsi="Times New Roman"/>
        </w:rPr>
        <w:t>Esse, infatti, danno bene il senso delle molte vischiosità che, nonostante le più buone intenzioni, ostano ancora ad una soluzione che sia veramente soddisfacente del problema e che ponga così fine a questioni da molto te</w:t>
      </w:r>
      <w:r>
        <w:rPr>
          <w:rFonts w:ascii="Times New Roman" w:hAnsi="Times New Roman"/>
        </w:rPr>
        <w:t>mpo dibattute e  ancora non risolte.</w:t>
      </w:r>
    </w:p>
    <w:p w14:paraId="36DA0167" w14:textId="77777777" w:rsidR="00175096" w:rsidRPr="00D25ABF" w:rsidRDefault="00175096" w:rsidP="00D25ABF">
      <w:pPr>
        <w:ind w:firstLine="709"/>
        <w:jc w:val="both"/>
        <w:rPr>
          <w:rFonts w:ascii="Times New Roman" w:hAnsi="Times New Roman"/>
        </w:rPr>
      </w:pPr>
    </w:p>
    <w:sectPr w:rsidR="00175096" w:rsidRPr="00D25ABF" w:rsidSect="00BD3B19">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D4EA" w14:textId="77777777" w:rsidR="005B65CD" w:rsidRDefault="005B65CD" w:rsidP="00C37704">
      <w:r>
        <w:separator/>
      </w:r>
    </w:p>
  </w:endnote>
  <w:endnote w:type="continuationSeparator" w:id="0">
    <w:p w14:paraId="48B3A323" w14:textId="77777777" w:rsidR="005B65CD" w:rsidRDefault="005B65CD" w:rsidP="00C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4682" w14:textId="77777777" w:rsidR="005B65CD" w:rsidRDefault="005B65CD" w:rsidP="006E0DB5">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20E190" w14:textId="77777777" w:rsidR="005B65CD" w:rsidRDefault="005B65CD" w:rsidP="0009416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5B76" w14:textId="77777777" w:rsidR="005B65CD" w:rsidRDefault="005B65CD">
    <w:pPr>
      <w:pStyle w:val="Pidipagina"/>
      <w:jc w:val="right"/>
    </w:pPr>
    <w:r>
      <w:fldChar w:fldCharType="begin"/>
    </w:r>
    <w:r>
      <w:instrText>PAGE   \* MERGEFORMAT</w:instrText>
    </w:r>
    <w:r>
      <w:fldChar w:fldCharType="separate"/>
    </w:r>
    <w:r w:rsidR="00537AB0">
      <w:rPr>
        <w:noProof/>
      </w:rPr>
      <w:t>1</w:t>
    </w:r>
    <w:r>
      <w:rPr>
        <w:noProof/>
      </w:rPr>
      <w:fldChar w:fldCharType="end"/>
    </w:r>
  </w:p>
  <w:p w14:paraId="2619A93E" w14:textId="77777777" w:rsidR="005B65CD" w:rsidRDefault="005B65CD" w:rsidP="0009416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49A57" w14:textId="77777777" w:rsidR="005B65CD" w:rsidRDefault="005B65CD" w:rsidP="00C37704">
      <w:r>
        <w:separator/>
      </w:r>
    </w:p>
  </w:footnote>
  <w:footnote w:type="continuationSeparator" w:id="0">
    <w:p w14:paraId="2BAC0C15" w14:textId="77777777" w:rsidR="005B65CD" w:rsidRDefault="005B65CD" w:rsidP="00C37704">
      <w:r>
        <w:continuationSeparator/>
      </w:r>
    </w:p>
  </w:footnote>
  <w:footnote w:id="1">
    <w:p w14:paraId="0B69537A" w14:textId="77777777" w:rsidR="005B65CD" w:rsidRPr="00D25ABF" w:rsidRDefault="005B65CD" w:rsidP="00D25ABF">
      <w:pPr>
        <w:ind w:firstLine="709"/>
        <w:jc w:val="both"/>
        <w:rPr>
          <w:rFonts w:ascii="Times New Roman" w:hAnsi="Times New Roman"/>
          <w:sz w:val="20"/>
          <w:szCs w:val="20"/>
        </w:rPr>
      </w:pPr>
      <w:r w:rsidRPr="00D25ABF">
        <w:rPr>
          <w:rStyle w:val="Rimandonotaapidipagina"/>
          <w:rFonts w:ascii="Times New Roman" w:hAnsi="Times New Roman"/>
          <w:sz w:val="20"/>
          <w:szCs w:val="20"/>
        </w:rPr>
        <w:t>*</w:t>
      </w:r>
      <w:r>
        <w:rPr>
          <w:rFonts w:ascii="Times New Roman" w:hAnsi="Times New Roman"/>
          <w:sz w:val="20"/>
          <w:szCs w:val="20"/>
        </w:rPr>
        <w:t xml:space="preserve"> Prof. </w:t>
      </w:r>
      <w:proofErr w:type="spellStart"/>
      <w:r>
        <w:rPr>
          <w:rFonts w:ascii="Times New Roman" w:hAnsi="Times New Roman"/>
          <w:sz w:val="20"/>
          <w:szCs w:val="20"/>
        </w:rPr>
        <w:t>Ord</w:t>
      </w:r>
      <w:proofErr w:type="spellEnd"/>
      <w:r>
        <w:rPr>
          <w:rFonts w:ascii="Times New Roman" w:hAnsi="Times New Roman"/>
          <w:sz w:val="20"/>
          <w:szCs w:val="20"/>
        </w:rPr>
        <w:t>.</w:t>
      </w:r>
      <w:r w:rsidRPr="00D25ABF">
        <w:rPr>
          <w:rFonts w:ascii="Times New Roman" w:hAnsi="Times New Roman"/>
          <w:sz w:val="20"/>
          <w:szCs w:val="20"/>
        </w:rPr>
        <w:t xml:space="preserve"> di Diritto costituzionale nell’Università degli Studi di Firenze.</w:t>
      </w:r>
    </w:p>
  </w:footnote>
  <w:footnote w:id="2">
    <w:p w14:paraId="62B42903"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692568">
        <w:rPr>
          <w:rFonts w:ascii="Times New Roman" w:hAnsi="Times New Roman"/>
          <w:sz w:val="20"/>
          <w:szCs w:val="20"/>
          <w:lang w:val="en-US"/>
        </w:rPr>
        <w:t xml:space="preserve"> V. Corte cost</w:t>
      </w:r>
      <w:proofErr w:type="gramStart"/>
      <w:r w:rsidRPr="00692568">
        <w:rPr>
          <w:rFonts w:ascii="Times New Roman" w:hAnsi="Times New Roman"/>
          <w:sz w:val="20"/>
          <w:szCs w:val="20"/>
          <w:lang w:val="en-US"/>
        </w:rPr>
        <w:t>.,</w:t>
      </w:r>
      <w:proofErr w:type="gramEnd"/>
      <w:r w:rsidRPr="00692568">
        <w:rPr>
          <w:rFonts w:ascii="Times New Roman" w:hAnsi="Times New Roman"/>
          <w:sz w:val="20"/>
          <w:szCs w:val="20"/>
          <w:lang w:val="en-US"/>
        </w:rPr>
        <w:t xml:space="preserve"> sent. n. 120 del 2014. </w:t>
      </w:r>
      <w:r w:rsidRPr="00D25ABF">
        <w:rPr>
          <w:rFonts w:ascii="Times New Roman" w:hAnsi="Times New Roman"/>
          <w:sz w:val="20"/>
          <w:szCs w:val="20"/>
        </w:rPr>
        <w:t>A suo commento v., fra i molti, A. R</w:t>
      </w:r>
      <w:r w:rsidRPr="00C128A5">
        <w:rPr>
          <w:rFonts w:ascii="Times New Roman" w:hAnsi="Times New Roman"/>
          <w:smallCaps/>
          <w:sz w:val="20"/>
          <w:szCs w:val="20"/>
        </w:rPr>
        <w:t>uggeri</w:t>
      </w:r>
      <w:r w:rsidRPr="00D25ABF">
        <w:rPr>
          <w:rFonts w:ascii="Times New Roman" w:hAnsi="Times New Roman"/>
          <w:sz w:val="20"/>
          <w:szCs w:val="20"/>
        </w:rPr>
        <w:t xml:space="preserve">, </w:t>
      </w:r>
      <w:r w:rsidRPr="00D25ABF">
        <w:rPr>
          <w:rFonts w:ascii="Times New Roman" w:hAnsi="Times New Roman"/>
          <w:i/>
          <w:sz w:val="20"/>
          <w:szCs w:val="20"/>
        </w:rPr>
        <w:t xml:space="preserve">Novità in tema di (in)sindacabilità dei regolamenti parlamentari, in una pronunzia-ponte della Consulta (a margine di Corte </w:t>
      </w:r>
      <w:proofErr w:type="spellStart"/>
      <w:r w:rsidRPr="00D25ABF">
        <w:rPr>
          <w:rFonts w:ascii="Times New Roman" w:hAnsi="Times New Roman"/>
          <w:i/>
          <w:sz w:val="20"/>
          <w:szCs w:val="20"/>
        </w:rPr>
        <w:t>cost</w:t>
      </w:r>
      <w:proofErr w:type="spellEnd"/>
      <w:r w:rsidRPr="00D25ABF">
        <w:rPr>
          <w:rFonts w:ascii="Times New Roman" w:hAnsi="Times New Roman"/>
          <w:i/>
          <w:sz w:val="20"/>
          <w:szCs w:val="20"/>
        </w:rPr>
        <w:t>. n. 120 del 2014)</w:t>
      </w:r>
      <w:r w:rsidRPr="00C128A5">
        <w:rPr>
          <w:rFonts w:ascii="Times New Roman" w:hAnsi="Times New Roman"/>
          <w:sz w:val="20"/>
          <w:szCs w:val="20"/>
        </w:rPr>
        <w:t>,</w:t>
      </w:r>
      <w:r w:rsidRPr="00D25ABF">
        <w:rPr>
          <w:rFonts w:ascii="Times New Roman" w:hAnsi="Times New Roman"/>
          <w:i/>
          <w:sz w:val="20"/>
          <w:szCs w:val="20"/>
        </w:rPr>
        <w:t xml:space="preserve"> </w:t>
      </w:r>
      <w:r w:rsidRPr="00C128A5">
        <w:rPr>
          <w:rFonts w:ascii="Times New Roman" w:hAnsi="Times New Roman"/>
          <w:iCs/>
          <w:color w:val="000000"/>
          <w:sz w:val="20"/>
          <w:szCs w:val="20"/>
        </w:rPr>
        <w:t>in</w:t>
      </w:r>
      <w:r>
        <w:rPr>
          <w:rFonts w:ascii="Times New Roman" w:hAnsi="Times New Roman"/>
          <w:i/>
          <w:iCs/>
          <w:color w:val="000000"/>
          <w:sz w:val="20"/>
          <w:szCs w:val="20"/>
        </w:rPr>
        <w:t xml:space="preserve"> </w:t>
      </w:r>
      <w:hyperlink r:id="rId1" w:history="1">
        <w:r w:rsidRPr="004C7456">
          <w:rPr>
            <w:rStyle w:val="Collegamentoipertestuale"/>
            <w:rFonts w:ascii="Times New Roman" w:hAnsi="Times New Roman"/>
            <w:iCs/>
            <w:sz w:val="20"/>
            <w:szCs w:val="20"/>
          </w:rPr>
          <w:t>www.consultaonline</w:t>
        </w:r>
        <w:r w:rsidRPr="004C7456">
          <w:rPr>
            <w:rStyle w:val="Collegamentoipertestuale"/>
            <w:rFonts w:ascii="Times New Roman" w:hAnsi="Times New Roman"/>
            <w:sz w:val="20"/>
            <w:szCs w:val="20"/>
          </w:rPr>
          <w:t>.it</w:t>
        </w:r>
      </w:hyperlink>
      <w:r w:rsidRPr="00FE2054">
        <w:rPr>
          <w:rFonts w:ascii="Times New Roman" w:hAnsi="Times New Roman"/>
          <w:sz w:val="20"/>
          <w:szCs w:val="20"/>
        </w:rPr>
        <w:t>;</w:t>
      </w:r>
      <w:r w:rsidRPr="00D25ABF">
        <w:rPr>
          <w:rFonts w:ascii="Times New Roman" w:hAnsi="Times New Roman"/>
          <w:sz w:val="20"/>
          <w:szCs w:val="20"/>
        </w:rPr>
        <w:t xml:space="preserve"> R. </w:t>
      </w:r>
      <w:proofErr w:type="spellStart"/>
      <w:r w:rsidRPr="00D25ABF">
        <w:rPr>
          <w:rFonts w:ascii="Times New Roman" w:hAnsi="Times New Roman"/>
          <w:sz w:val="20"/>
          <w:szCs w:val="20"/>
        </w:rPr>
        <w:t>D</w:t>
      </w:r>
      <w:r w:rsidRPr="00C128A5">
        <w:rPr>
          <w:rFonts w:ascii="Times New Roman" w:hAnsi="Times New Roman"/>
          <w:smallCaps/>
          <w:sz w:val="20"/>
          <w:szCs w:val="20"/>
        </w:rPr>
        <w:t>ickmann</w:t>
      </w:r>
      <w:proofErr w:type="spellEnd"/>
      <w:r w:rsidRPr="00D25ABF">
        <w:rPr>
          <w:rFonts w:ascii="Times New Roman" w:hAnsi="Times New Roman"/>
          <w:sz w:val="20"/>
          <w:szCs w:val="20"/>
        </w:rPr>
        <w:t xml:space="preserve">, </w:t>
      </w:r>
      <w:r w:rsidRPr="00D25ABF">
        <w:rPr>
          <w:rFonts w:ascii="Times New Roman" w:hAnsi="Times New Roman"/>
          <w:i/>
          <w:sz w:val="20"/>
          <w:szCs w:val="20"/>
        </w:rPr>
        <w:t>Tramonto o rilegittimazione dell’autodichia delle Camere?</w:t>
      </w:r>
      <w:r w:rsidRPr="00D25ABF">
        <w:rPr>
          <w:rFonts w:ascii="Times New Roman" w:hAnsi="Times New Roman"/>
          <w:sz w:val="20"/>
          <w:szCs w:val="20"/>
        </w:rPr>
        <w:t xml:space="preserve">, in </w:t>
      </w:r>
      <w:hyperlink r:id="rId2" w:history="1">
        <w:r w:rsidRPr="004C7456">
          <w:rPr>
            <w:rStyle w:val="Collegamentoipertestuale"/>
            <w:rFonts w:ascii="Times New Roman" w:hAnsi="Times New Roman"/>
            <w:sz w:val="20"/>
            <w:szCs w:val="20"/>
          </w:rPr>
          <w:t>www.federalismi.it</w:t>
        </w:r>
      </w:hyperlink>
      <w:r w:rsidRPr="00692568">
        <w:rPr>
          <w:rFonts w:ascii="Times New Roman" w:hAnsi="Times New Roman"/>
          <w:sz w:val="20"/>
          <w:szCs w:val="20"/>
        </w:rPr>
        <w:t>;</w:t>
      </w:r>
      <w:r w:rsidRPr="00D25ABF">
        <w:rPr>
          <w:rFonts w:ascii="Times New Roman" w:hAnsi="Times New Roman"/>
          <w:i/>
          <w:sz w:val="20"/>
          <w:szCs w:val="20"/>
        </w:rPr>
        <w:t xml:space="preserve"> </w:t>
      </w:r>
      <w:r w:rsidRPr="00D25ABF">
        <w:rPr>
          <w:rFonts w:ascii="Times New Roman" w:hAnsi="Times New Roman"/>
          <w:sz w:val="20"/>
          <w:szCs w:val="20"/>
        </w:rPr>
        <w:t>M. M</w:t>
      </w:r>
      <w:r w:rsidRPr="00C128A5">
        <w:rPr>
          <w:rFonts w:ascii="Times New Roman" w:hAnsi="Times New Roman"/>
          <w:smallCaps/>
          <w:sz w:val="20"/>
          <w:szCs w:val="20"/>
        </w:rPr>
        <w:t>anetti</w:t>
      </w:r>
      <w:r w:rsidRPr="00D25ABF">
        <w:rPr>
          <w:rFonts w:ascii="Times New Roman" w:hAnsi="Times New Roman"/>
          <w:sz w:val="20"/>
          <w:szCs w:val="20"/>
        </w:rPr>
        <w:t xml:space="preserve">, </w:t>
      </w:r>
      <w:r w:rsidRPr="00D25ABF">
        <w:rPr>
          <w:rFonts w:ascii="Times New Roman" w:hAnsi="Times New Roman"/>
          <w:i/>
          <w:sz w:val="20"/>
          <w:szCs w:val="20"/>
        </w:rPr>
        <w:t>La Corte costituzionale ridefinisce l’autonomia delle Camere (ben oltre i regolamenti parlamentari e l’autodichia)</w:t>
      </w:r>
      <w:r w:rsidRPr="00C128A5">
        <w:rPr>
          <w:rFonts w:ascii="Times New Roman" w:hAnsi="Times New Roman"/>
          <w:sz w:val="20"/>
          <w:szCs w:val="20"/>
        </w:rPr>
        <w:t>,</w:t>
      </w:r>
      <w:r w:rsidRPr="00D25ABF">
        <w:rPr>
          <w:rFonts w:ascii="Times New Roman" w:hAnsi="Times New Roman"/>
          <w:i/>
          <w:sz w:val="20"/>
          <w:szCs w:val="20"/>
        </w:rPr>
        <w:t xml:space="preserve"> </w:t>
      </w:r>
      <w:r w:rsidRPr="00D25ABF">
        <w:rPr>
          <w:rFonts w:ascii="Times New Roman" w:hAnsi="Times New Roman"/>
          <w:sz w:val="20"/>
          <w:szCs w:val="20"/>
        </w:rPr>
        <w:t xml:space="preserve">in </w:t>
      </w:r>
      <w:hyperlink r:id="rId3" w:history="1">
        <w:r w:rsidRPr="004C7456">
          <w:rPr>
            <w:rStyle w:val="Collegamentoipertestuale"/>
            <w:rFonts w:ascii="Times New Roman" w:hAnsi="Times New Roman"/>
            <w:sz w:val="20"/>
            <w:szCs w:val="20"/>
          </w:rPr>
          <w:t>www.associazionedeicostituzionalisti.it</w:t>
        </w:r>
      </w:hyperlink>
      <w:r w:rsidRPr="00FE2054">
        <w:rPr>
          <w:rFonts w:ascii="Times New Roman" w:hAnsi="Times New Roman"/>
          <w:sz w:val="20"/>
          <w:szCs w:val="20"/>
        </w:rPr>
        <w:t xml:space="preserve">; </w:t>
      </w:r>
      <w:r w:rsidRPr="00D25ABF">
        <w:rPr>
          <w:rFonts w:ascii="Times New Roman" w:hAnsi="Times New Roman"/>
          <w:sz w:val="20"/>
          <w:szCs w:val="20"/>
        </w:rPr>
        <w:t xml:space="preserve">T.F. </w:t>
      </w:r>
      <w:proofErr w:type="spellStart"/>
      <w:r w:rsidRPr="00D25ABF">
        <w:rPr>
          <w:rFonts w:ascii="Times New Roman" w:hAnsi="Times New Roman"/>
          <w:sz w:val="20"/>
          <w:szCs w:val="20"/>
        </w:rPr>
        <w:t>G</w:t>
      </w:r>
      <w:r w:rsidRPr="00C128A5">
        <w:rPr>
          <w:rFonts w:ascii="Times New Roman" w:hAnsi="Times New Roman"/>
          <w:smallCaps/>
          <w:sz w:val="20"/>
          <w:szCs w:val="20"/>
        </w:rPr>
        <w:t>iupponi</w:t>
      </w:r>
      <w:proofErr w:type="spellEnd"/>
      <w:r w:rsidRPr="00D25ABF">
        <w:rPr>
          <w:rFonts w:ascii="Times New Roman" w:hAnsi="Times New Roman"/>
          <w:sz w:val="20"/>
          <w:szCs w:val="20"/>
        </w:rPr>
        <w:t xml:space="preserve">, </w:t>
      </w:r>
      <w:r w:rsidRPr="00D25ABF">
        <w:rPr>
          <w:rFonts w:ascii="Times New Roman" w:hAnsi="Times New Roman"/>
          <w:i/>
          <w:sz w:val="20"/>
          <w:szCs w:val="20"/>
        </w:rPr>
        <w:t xml:space="preserve">La Corte e </w:t>
      </w:r>
      <w:r w:rsidRPr="00D25ABF">
        <w:rPr>
          <w:rFonts w:ascii="Times New Roman" w:hAnsi="Times New Roman"/>
          <w:sz w:val="20"/>
          <w:szCs w:val="20"/>
        </w:rPr>
        <w:t>la</w:t>
      </w:r>
      <w:r w:rsidRPr="00D25ABF">
        <w:rPr>
          <w:rFonts w:ascii="Times New Roman" w:hAnsi="Times New Roman"/>
          <w:i/>
          <w:sz w:val="20"/>
          <w:szCs w:val="20"/>
        </w:rPr>
        <w:t xml:space="preserve"> “sindacabilità indiretta” dei regolamenti parlamentari: il caso dell’autodichia</w:t>
      </w:r>
      <w:r w:rsidRPr="00C128A5">
        <w:rPr>
          <w:rFonts w:ascii="Times New Roman" w:hAnsi="Times New Roman"/>
          <w:sz w:val="20"/>
          <w:szCs w:val="20"/>
        </w:rPr>
        <w:t>, in</w:t>
      </w:r>
      <w:r w:rsidRPr="00D25ABF">
        <w:rPr>
          <w:rFonts w:ascii="Times New Roman" w:hAnsi="Times New Roman"/>
          <w:i/>
          <w:sz w:val="20"/>
          <w:szCs w:val="20"/>
        </w:rPr>
        <w:t xml:space="preserve"> </w:t>
      </w:r>
      <w:hyperlink r:id="rId4" w:history="1">
        <w:r w:rsidRPr="004C7456">
          <w:rPr>
            <w:rStyle w:val="Collegamentoipertestuale"/>
            <w:rFonts w:ascii="Times New Roman" w:hAnsi="Times New Roman"/>
            <w:sz w:val="20"/>
            <w:szCs w:val="20"/>
          </w:rPr>
          <w:t>www.forumcostituzionale.it</w:t>
        </w:r>
      </w:hyperlink>
      <w:r w:rsidRPr="00D25ABF">
        <w:rPr>
          <w:rFonts w:ascii="Times New Roman" w:hAnsi="Times New Roman"/>
          <w:sz w:val="20"/>
          <w:szCs w:val="20"/>
        </w:rPr>
        <w:t xml:space="preserve">;  G. </w:t>
      </w:r>
      <w:proofErr w:type="spellStart"/>
      <w:r w:rsidRPr="00D25ABF">
        <w:rPr>
          <w:rFonts w:ascii="Times New Roman" w:hAnsi="Times New Roman"/>
          <w:sz w:val="20"/>
          <w:szCs w:val="20"/>
        </w:rPr>
        <w:t>B</w:t>
      </w:r>
      <w:r w:rsidRPr="00C128A5">
        <w:rPr>
          <w:rFonts w:ascii="Times New Roman" w:hAnsi="Times New Roman"/>
          <w:smallCaps/>
          <w:sz w:val="20"/>
          <w:szCs w:val="20"/>
        </w:rPr>
        <w:t>uonomo</w:t>
      </w:r>
      <w:proofErr w:type="spellEnd"/>
      <w:r w:rsidRPr="00D25ABF">
        <w:rPr>
          <w:rFonts w:ascii="Times New Roman" w:hAnsi="Times New Roman"/>
          <w:sz w:val="20"/>
          <w:szCs w:val="20"/>
        </w:rPr>
        <w:t xml:space="preserve">, </w:t>
      </w:r>
      <w:r w:rsidRPr="00D25ABF">
        <w:rPr>
          <w:rFonts w:ascii="Times New Roman" w:hAnsi="Times New Roman"/>
          <w:i/>
          <w:sz w:val="20"/>
          <w:szCs w:val="20"/>
        </w:rPr>
        <w:t xml:space="preserve">Il diritto pretorio sull’autodichia, resistenze e </w:t>
      </w:r>
      <w:r w:rsidRPr="00D25ABF">
        <w:rPr>
          <w:rFonts w:ascii="Times New Roman" w:hAnsi="Times New Roman"/>
          <w:sz w:val="20"/>
          <w:szCs w:val="20"/>
        </w:rPr>
        <w:t xml:space="preserve">desistenze, in </w:t>
      </w:r>
      <w:hyperlink r:id="rId5" w:history="1">
        <w:r w:rsidRPr="004C7456">
          <w:rPr>
            <w:rStyle w:val="Collegamentoipertestuale"/>
            <w:rFonts w:ascii="Times New Roman" w:hAnsi="Times New Roman"/>
            <w:sz w:val="20"/>
            <w:szCs w:val="20"/>
          </w:rPr>
          <w:t>www.forumcostituzionale.it</w:t>
        </w:r>
      </w:hyperlink>
      <w:r w:rsidRPr="00D25ABF">
        <w:rPr>
          <w:rFonts w:ascii="Times New Roman" w:hAnsi="Times New Roman"/>
          <w:sz w:val="20"/>
          <w:szCs w:val="20"/>
        </w:rPr>
        <w:t>; G. M</w:t>
      </w:r>
      <w:r w:rsidRPr="00C128A5">
        <w:rPr>
          <w:rFonts w:ascii="Times New Roman" w:hAnsi="Times New Roman"/>
          <w:smallCaps/>
          <w:sz w:val="20"/>
          <w:szCs w:val="20"/>
        </w:rPr>
        <w:t>alinconico</w:t>
      </w:r>
      <w:r w:rsidRPr="00D25ABF">
        <w:rPr>
          <w:rFonts w:ascii="Times New Roman" w:hAnsi="Times New Roman"/>
          <w:sz w:val="20"/>
          <w:szCs w:val="20"/>
        </w:rPr>
        <w:t xml:space="preserve">, </w:t>
      </w:r>
      <w:r w:rsidRPr="00D25ABF">
        <w:rPr>
          <w:rFonts w:ascii="Times New Roman" w:hAnsi="Times New Roman"/>
          <w:i/>
          <w:sz w:val="20"/>
          <w:szCs w:val="20"/>
        </w:rPr>
        <w:t xml:space="preserve">Ancora sull’autodichia delle Camere e sul sindacato di legittimità dei regolamenti parlamentari (a margine di Corte </w:t>
      </w:r>
      <w:proofErr w:type="spellStart"/>
      <w:r w:rsidRPr="00D25ABF">
        <w:rPr>
          <w:rFonts w:ascii="Times New Roman" w:hAnsi="Times New Roman"/>
          <w:i/>
          <w:sz w:val="20"/>
          <w:szCs w:val="20"/>
        </w:rPr>
        <w:t>cass</w:t>
      </w:r>
      <w:proofErr w:type="spellEnd"/>
      <w:r w:rsidRPr="00D25ABF">
        <w:rPr>
          <w:rFonts w:ascii="Times New Roman" w:hAnsi="Times New Roman"/>
          <w:i/>
          <w:sz w:val="20"/>
          <w:szCs w:val="20"/>
        </w:rPr>
        <w:t>. SS.UU. civ. ,</w:t>
      </w:r>
      <w:proofErr w:type="spellStart"/>
      <w:r w:rsidRPr="00D25ABF">
        <w:rPr>
          <w:rFonts w:ascii="Times New Roman" w:hAnsi="Times New Roman"/>
          <w:i/>
          <w:sz w:val="20"/>
          <w:szCs w:val="20"/>
        </w:rPr>
        <w:t>ord</w:t>
      </w:r>
      <w:proofErr w:type="spellEnd"/>
      <w:r w:rsidRPr="00D25ABF">
        <w:rPr>
          <w:rFonts w:ascii="Times New Roman" w:hAnsi="Times New Roman"/>
          <w:i/>
          <w:sz w:val="20"/>
          <w:szCs w:val="20"/>
        </w:rPr>
        <w:t>. 6 maggio 2013, n. 10400)</w:t>
      </w:r>
      <w:r w:rsidRPr="00D25ABF">
        <w:rPr>
          <w:rFonts w:ascii="Times New Roman" w:hAnsi="Times New Roman"/>
          <w:sz w:val="20"/>
          <w:szCs w:val="20"/>
        </w:rPr>
        <w:t>,</w:t>
      </w:r>
      <w:r w:rsidRPr="00D25ABF">
        <w:rPr>
          <w:rFonts w:ascii="Times New Roman" w:hAnsi="Times New Roman"/>
          <w:i/>
          <w:sz w:val="20"/>
          <w:szCs w:val="20"/>
        </w:rPr>
        <w:t xml:space="preserve"> </w:t>
      </w:r>
      <w:r w:rsidRPr="00D25ABF">
        <w:rPr>
          <w:rFonts w:ascii="Times New Roman" w:hAnsi="Times New Roman"/>
          <w:sz w:val="20"/>
          <w:szCs w:val="20"/>
        </w:rPr>
        <w:t xml:space="preserve">in </w:t>
      </w:r>
      <w:hyperlink r:id="rId6" w:history="1">
        <w:r w:rsidRPr="004C7456">
          <w:rPr>
            <w:rStyle w:val="Collegamentoipertestuale"/>
            <w:rFonts w:ascii="Times New Roman" w:hAnsi="Times New Roman"/>
            <w:sz w:val="20"/>
            <w:szCs w:val="20"/>
          </w:rPr>
          <w:t>www.federalismi.it</w:t>
        </w:r>
      </w:hyperlink>
      <w:r w:rsidRPr="00D25ABF">
        <w:rPr>
          <w:rFonts w:ascii="Times New Roman" w:hAnsi="Times New Roman"/>
          <w:sz w:val="20"/>
          <w:szCs w:val="20"/>
        </w:rPr>
        <w:t xml:space="preserve">; R. </w:t>
      </w:r>
      <w:proofErr w:type="spellStart"/>
      <w:r w:rsidRPr="00D25ABF">
        <w:rPr>
          <w:rFonts w:ascii="Times New Roman" w:hAnsi="Times New Roman"/>
          <w:smallCaps/>
          <w:sz w:val="20"/>
          <w:szCs w:val="20"/>
        </w:rPr>
        <w:t>Lugorà</w:t>
      </w:r>
      <w:proofErr w:type="spellEnd"/>
      <w:r w:rsidRPr="00D25ABF">
        <w:rPr>
          <w:rFonts w:ascii="Times New Roman" w:hAnsi="Times New Roman"/>
          <w:sz w:val="20"/>
          <w:szCs w:val="20"/>
        </w:rPr>
        <w:t xml:space="preserve">, </w:t>
      </w:r>
      <w:r w:rsidRPr="00D25ABF">
        <w:rPr>
          <w:rFonts w:ascii="Times New Roman" w:hAnsi="Times New Roman"/>
          <w:i/>
          <w:sz w:val="20"/>
          <w:szCs w:val="20"/>
        </w:rPr>
        <w:t>I regolamenti parlamentari al vaglio di costituzionalità: la Consulta  indica la strada</w:t>
      </w:r>
      <w:r w:rsidRPr="00D25ABF">
        <w:rPr>
          <w:rFonts w:ascii="Times New Roman" w:hAnsi="Times New Roman"/>
          <w:sz w:val="20"/>
          <w:szCs w:val="20"/>
        </w:rPr>
        <w:t xml:space="preserve">, in </w:t>
      </w:r>
      <w:hyperlink r:id="rId7" w:history="1">
        <w:r w:rsidRPr="004C7456">
          <w:rPr>
            <w:rStyle w:val="Collegamentoipertestuale"/>
            <w:rFonts w:ascii="Times New Roman" w:hAnsi="Times New Roman"/>
            <w:sz w:val="20"/>
            <w:szCs w:val="20"/>
          </w:rPr>
          <w:t>www.associazionedeicostituzionalisti.it</w:t>
        </w:r>
      </w:hyperlink>
      <w:r w:rsidRPr="00D25ABF">
        <w:rPr>
          <w:rFonts w:ascii="Times New Roman" w:hAnsi="Times New Roman"/>
          <w:sz w:val="20"/>
          <w:szCs w:val="20"/>
        </w:rPr>
        <w:t>; L. B</w:t>
      </w:r>
      <w:r w:rsidRPr="00C128A5">
        <w:rPr>
          <w:rFonts w:ascii="Times New Roman" w:hAnsi="Times New Roman"/>
          <w:smallCaps/>
          <w:sz w:val="20"/>
          <w:szCs w:val="20"/>
        </w:rPr>
        <w:t>runetti</w:t>
      </w:r>
      <w:r w:rsidRPr="00D25ABF">
        <w:rPr>
          <w:rFonts w:ascii="Times New Roman" w:hAnsi="Times New Roman"/>
          <w:sz w:val="20"/>
          <w:szCs w:val="20"/>
        </w:rPr>
        <w:t xml:space="preserve">, </w:t>
      </w:r>
      <w:r w:rsidRPr="00D25ABF">
        <w:rPr>
          <w:rFonts w:ascii="Times New Roman" w:hAnsi="Times New Roman"/>
          <w:i/>
          <w:sz w:val="20"/>
          <w:szCs w:val="20"/>
        </w:rPr>
        <w:t>Un significativo passo avanti della giurisprudenza costituzionale sull’autodichia delle Camere</w:t>
      </w:r>
      <w:r w:rsidRPr="00D25ABF">
        <w:rPr>
          <w:rFonts w:ascii="Times New Roman" w:hAnsi="Times New Roman"/>
          <w:sz w:val="20"/>
          <w:szCs w:val="20"/>
        </w:rPr>
        <w:t>, in</w:t>
      </w:r>
      <w:r w:rsidRPr="00D25ABF">
        <w:rPr>
          <w:rFonts w:ascii="Times New Roman" w:hAnsi="Times New Roman"/>
          <w:i/>
          <w:sz w:val="20"/>
          <w:szCs w:val="20"/>
        </w:rPr>
        <w:t xml:space="preserve"> </w:t>
      </w:r>
      <w:hyperlink r:id="rId8" w:history="1">
        <w:r w:rsidRPr="004C7456">
          <w:rPr>
            <w:rStyle w:val="Collegamentoipertestuale"/>
            <w:rFonts w:ascii="Times New Roman" w:hAnsi="Times New Roman"/>
            <w:sz w:val="20"/>
            <w:szCs w:val="20"/>
          </w:rPr>
          <w:t>www.forumcostituzionale.it</w:t>
        </w:r>
      </w:hyperlink>
      <w:r>
        <w:rPr>
          <w:rFonts w:ascii="Times New Roman" w:hAnsi="Times New Roman"/>
          <w:sz w:val="20"/>
          <w:szCs w:val="20"/>
        </w:rPr>
        <w:t>;</w:t>
      </w:r>
      <w:r w:rsidRPr="00D25ABF">
        <w:rPr>
          <w:rFonts w:ascii="Times New Roman" w:hAnsi="Times New Roman"/>
          <w:sz w:val="20"/>
          <w:szCs w:val="20"/>
        </w:rPr>
        <w:t xml:space="preserve"> A. L</w:t>
      </w:r>
      <w:r w:rsidRPr="00C128A5">
        <w:rPr>
          <w:rFonts w:ascii="Times New Roman" w:hAnsi="Times New Roman"/>
          <w:smallCaps/>
          <w:sz w:val="20"/>
          <w:szCs w:val="20"/>
        </w:rPr>
        <w:t>o</w:t>
      </w:r>
      <w:r w:rsidRPr="00D25ABF">
        <w:rPr>
          <w:rFonts w:ascii="Times New Roman" w:hAnsi="Times New Roman"/>
          <w:sz w:val="20"/>
          <w:szCs w:val="20"/>
        </w:rPr>
        <w:t xml:space="preserve"> C</w:t>
      </w:r>
      <w:r w:rsidRPr="00C128A5">
        <w:rPr>
          <w:rFonts w:ascii="Times New Roman" w:hAnsi="Times New Roman"/>
          <w:smallCaps/>
          <w:sz w:val="20"/>
          <w:szCs w:val="20"/>
        </w:rPr>
        <w:t>alzo</w:t>
      </w:r>
      <w:r w:rsidRPr="00D25ABF">
        <w:rPr>
          <w:rFonts w:ascii="Times New Roman" w:hAnsi="Times New Roman"/>
          <w:sz w:val="20"/>
          <w:szCs w:val="20"/>
        </w:rPr>
        <w:t xml:space="preserve">, </w:t>
      </w:r>
      <w:r w:rsidRPr="00D25ABF">
        <w:rPr>
          <w:rFonts w:ascii="Times New Roman" w:hAnsi="Times New Roman"/>
          <w:i/>
          <w:sz w:val="20"/>
          <w:szCs w:val="20"/>
        </w:rPr>
        <w:t>Il principio di unicità della giurisdizione costituzionale</w:t>
      </w:r>
      <w:r>
        <w:rPr>
          <w:rFonts w:ascii="Times New Roman" w:hAnsi="Times New Roman"/>
          <w:i/>
          <w:sz w:val="20"/>
          <w:szCs w:val="20"/>
        </w:rPr>
        <w:t xml:space="preserve"> </w:t>
      </w:r>
      <w:r w:rsidRPr="00D25ABF">
        <w:rPr>
          <w:rFonts w:ascii="Times New Roman" w:hAnsi="Times New Roman"/>
          <w:i/>
          <w:sz w:val="20"/>
          <w:szCs w:val="20"/>
        </w:rPr>
        <w:t>e la</w:t>
      </w:r>
      <w:r>
        <w:rPr>
          <w:rFonts w:ascii="Times New Roman" w:hAnsi="Times New Roman"/>
          <w:i/>
          <w:sz w:val="20"/>
          <w:szCs w:val="20"/>
        </w:rPr>
        <w:t xml:space="preserve"> </w:t>
      </w:r>
      <w:r w:rsidRPr="00D25ABF">
        <w:rPr>
          <w:rFonts w:ascii="Times New Roman" w:hAnsi="Times New Roman"/>
          <w:i/>
          <w:sz w:val="20"/>
          <w:szCs w:val="20"/>
        </w:rPr>
        <w:t>giustizia</w:t>
      </w:r>
      <w:r>
        <w:rPr>
          <w:rFonts w:ascii="Times New Roman" w:hAnsi="Times New Roman"/>
          <w:i/>
          <w:sz w:val="20"/>
          <w:szCs w:val="20"/>
        </w:rPr>
        <w:t xml:space="preserve"> </w:t>
      </w:r>
      <w:r w:rsidRPr="00D25ABF">
        <w:rPr>
          <w:rFonts w:ascii="Times New Roman" w:hAnsi="Times New Roman"/>
          <w:i/>
          <w:sz w:val="20"/>
          <w:szCs w:val="20"/>
        </w:rPr>
        <w:t xml:space="preserve">domestica delle Camere, </w:t>
      </w:r>
      <w:r w:rsidRPr="00D25ABF">
        <w:rPr>
          <w:rFonts w:ascii="Times New Roman" w:hAnsi="Times New Roman"/>
          <w:sz w:val="20"/>
          <w:szCs w:val="20"/>
        </w:rPr>
        <w:t xml:space="preserve">in </w:t>
      </w:r>
      <w:hyperlink r:id="rId9" w:history="1">
        <w:r w:rsidRPr="004C7456">
          <w:rPr>
            <w:rStyle w:val="Collegamentoipertestuale"/>
            <w:rFonts w:ascii="Times New Roman" w:hAnsi="Times New Roman"/>
            <w:sz w:val="20"/>
            <w:szCs w:val="20"/>
          </w:rPr>
          <w:t>www.federalismi.it</w:t>
        </w:r>
      </w:hyperlink>
      <w:r w:rsidRPr="00C128A5">
        <w:rPr>
          <w:rFonts w:ascii="Times New Roman" w:hAnsi="Times New Roman"/>
          <w:sz w:val="20"/>
          <w:szCs w:val="20"/>
        </w:rPr>
        <w:t>;</w:t>
      </w:r>
      <w:r w:rsidRPr="00D25ABF">
        <w:rPr>
          <w:rFonts w:ascii="Times New Roman" w:hAnsi="Times New Roman"/>
          <w:sz w:val="20"/>
          <w:szCs w:val="20"/>
        </w:rPr>
        <w:t xml:space="preserve"> L. T</w:t>
      </w:r>
      <w:r w:rsidRPr="00C128A5">
        <w:rPr>
          <w:rFonts w:ascii="Times New Roman" w:hAnsi="Times New Roman"/>
          <w:smallCaps/>
          <w:sz w:val="20"/>
          <w:szCs w:val="20"/>
        </w:rPr>
        <w:t>esta</w:t>
      </w:r>
      <w:r w:rsidRPr="00D25ABF">
        <w:rPr>
          <w:rFonts w:ascii="Times New Roman" w:hAnsi="Times New Roman"/>
          <w:sz w:val="20"/>
          <w:szCs w:val="20"/>
        </w:rPr>
        <w:t xml:space="preserve">, </w:t>
      </w:r>
      <w:r w:rsidRPr="00D25ABF">
        <w:rPr>
          <w:rFonts w:ascii="Times New Roman" w:hAnsi="Times New Roman"/>
          <w:i/>
          <w:sz w:val="20"/>
          <w:szCs w:val="20"/>
        </w:rPr>
        <w:t xml:space="preserve"> La Corte salva (ma non troppo) l’autodichia del Senato. Brevi note sulla </w:t>
      </w:r>
      <w:proofErr w:type="spellStart"/>
      <w:r w:rsidRPr="00D25ABF">
        <w:rPr>
          <w:rFonts w:ascii="Times New Roman" w:hAnsi="Times New Roman"/>
          <w:i/>
          <w:sz w:val="20"/>
          <w:szCs w:val="20"/>
        </w:rPr>
        <w:t>sent</w:t>
      </w:r>
      <w:proofErr w:type="spellEnd"/>
      <w:r w:rsidRPr="00D25ABF">
        <w:rPr>
          <w:rFonts w:ascii="Times New Roman" w:hAnsi="Times New Roman"/>
          <w:i/>
          <w:sz w:val="20"/>
          <w:szCs w:val="20"/>
        </w:rPr>
        <w:t xml:space="preserve">. Corte </w:t>
      </w:r>
      <w:proofErr w:type="spellStart"/>
      <w:r w:rsidRPr="00D25ABF">
        <w:rPr>
          <w:rFonts w:ascii="Times New Roman" w:hAnsi="Times New Roman"/>
          <w:i/>
          <w:sz w:val="20"/>
          <w:szCs w:val="20"/>
        </w:rPr>
        <w:t>cost</w:t>
      </w:r>
      <w:proofErr w:type="spellEnd"/>
      <w:r w:rsidRPr="00D25ABF">
        <w:rPr>
          <w:rFonts w:ascii="Times New Roman" w:hAnsi="Times New Roman"/>
          <w:i/>
          <w:sz w:val="20"/>
          <w:szCs w:val="20"/>
        </w:rPr>
        <w:t xml:space="preserve">. n. 120 del 2014, </w:t>
      </w:r>
      <w:r w:rsidRPr="00D25ABF">
        <w:rPr>
          <w:rFonts w:ascii="Times New Roman" w:hAnsi="Times New Roman"/>
          <w:sz w:val="20"/>
          <w:szCs w:val="20"/>
        </w:rPr>
        <w:t xml:space="preserve">in </w:t>
      </w:r>
      <w:hyperlink r:id="rId10" w:history="1">
        <w:r w:rsidRPr="004C7456">
          <w:rPr>
            <w:rStyle w:val="Collegamentoipertestuale"/>
            <w:rFonts w:ascii="Times New Roman" w:hAnsi="Times New Roman"/>
            <w:sz w:val="20"/>
            <w:szCs w:val="20"/>
          </w:rPr>
          <w:t>www.federalismi.it</w:t>
        </w:r>
      </w:hyperlink>
      <w:r w:rsidRPr="00D25ABF">
        <w:rPr>
          <w:rFonts w:ascii="Times New Roman" w:hAnsi="Times New Roman"/>
          <w:sz w:val="20"/>
          <w:szCs w:val="20"/>
        </w:rPr>
        <w:t>; R. I</w:t>
      </w:r>
      <w:r w:rsidRPr="00C128A5">
        <w:rPr>
          <w:rFonts w:ascii="Times New Roman" w:hAnsi="Times New Roman"/>
          <w:smallCaps/>
          <w:sz w:val="20"/>
          <w:szCs w:val="20"/>
        </w:rPr>
        <w:t>brido</w:t>
      </w:r>
      <w:r w:rsidRPr="00D25ABF">
        <w:rPr>
          <w:rFonts w:ascii="Times New Roman" w:hAnsi="Times New Roman"/>
          <w:sz w:val="20"/>
          <w:szCs w:val="20"/>
        </w:rPr>
        <w:t>,</w:t>
      </w:r>
      <w:r w:rsidRPr="00D25ABF">
        <w:rPr>
          <w:rFonts w:ascii="Times New Roman" w:hAnsi="Times New Roman"/>
          <w:i/>
          <w:sz w:val="20"/>
          <w:szCs w:val="20"/>
        </w:rPr>
        <w:t xml:space="preserve"> “In direzione ostinata e contraria”. La risposta della Corte costituzionale alla dottrina della sindacabilità dei regolamenti parlamentari</w:t>
      </w:r>
      <w:r w:rsidRPr="00C128A5">
        <w:rPr>
          <w:rFonts w:ascii="Times New Roman" w:hAnsi="Times New Roman"/>
          <w:sz w:val="20"/>
          <w:szCs w:val="20"/>
        </w:rPr>
        <w:t>,</w:t>
      </w:r>
      <w:r w:rsidRPr="00D25ABF">
        <w:rPr>
          <w:rFonts w:ascii="Times New Roman" w:hAnsi="Times New Roman"/>
          <w:i/>
          <w:sz w:val="20"/>
          <w:szCs w:val="20"/>
        </w:rPr>
        <w:t xml:space="preserve"> </w:t>
      </w:r>
      <w:r w:rsidRPr="00D25ABF">
        <w:rPr>
          <w:rFonts w:ascii="Times New Roman" w:hAnsi="Times New Roman"/>
          <w:sz w:val="20"/>
          <w:szCs w:val="20"/>
        </w:rPr>
        <w:t xml:space="preserve">in </w:t>
      </w:r>
      <w:hyperlink r:id="rId11" w:history="1">
        <w:r w:rsidRPr="004C7456">
          <w:rPr>
            <w:rStyle w:val="Collegamentoipertestuale"/>
            <w:rFonts w:ascii="Times New Roman" w:hAnsi="Times New Roman"/>
            <w:sz w:val="20"/>
            <w:szCs w:val="20"/>
          </w:rPr>
          <w:t>www.associazionedeicostituzionalisti.it</w:t>
        </w:r>
      </w:hyperlink>
      <w:r>
        <w:rPr>
          <w:rFonts w:ascii="Times New Roman" w:hAnsi="Times New Roman"/>
          <w:sz w:val="20"/>
          <w:szCs w:val="20"/>
        </w:rPr>
        <w:t>.</w:t>
      </w:r>
    </w:p>
  </w:footnote>
  <w:footnote w:id="3">
    <w:p w14:paraId="3496530C"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cass</w:t>
      </w:r>
      <w:proofErr w:type="spellEnd"/>
      <w:r>
        <w:rPr>
          <w:rFonts w:ascii="Times New Roman" w:hAnsi="Times New Roman"/>
          <w:sz w:val="20"/>
          <w:szCs w:val="20"/>
        </w:rPr>
        <w:t>.</w:t>
      </w:r>
      <w:r w:rsidRPr="00D25ABF">
        <w:rPr>
          <w:rFonts w:ascii="Times New Roman" w:hAnsi="Times New Roman"/>
          <w:sz w:val="20"/>
          <w:szCs w:val="20"/>
        </w:rPr>
        <w:t>, S</w:t>
      </w:r>
      <w:r>
        <w:rPr>
          <w:rFonts w:ascii="Times New Roman" w:hAnsi="Times New Roman"/>
          <w:sz w:val="20"/>
          <w:szCs w:val="20"/>
        </w:rPr>
        <w:t xml:space="preserve">. U. civ., </w:t>
      </w:r>
      <w:proofErr w:type="spellStart"/>
      <w:r>
        <w:rPr>
          <w:rFonts w:ascii="Times New Roman" w:hAnsi="Times New Roman"/>
          <w:sz w:val="20"/>
          <w:szCs w:val="20"/>
        </w:rPr>
        <w:t>ord</w:t>
      </w:r>
      <w:proofErr w:type="spellEnd"/>
      <w:r>
        <w:rPr>
          <w:rFonts w:ascii="Times New Roman" w:hAnsi="Times New Roman"/>
          <w:sz w:val="20"/>
          <w:szCs w:val="20"/>
        </w:rPr>
        <w:t>.,</w:t>
      </w:r>
      <w:r w:rsidRPr="00D25ABF">
        <w:rPr>
          <w:rFonts w:ascii="Times New Roman" w:hAnsi="Times New Roman"/>
          <w:sz w:val="20"/>
          <w:szCs w:val="20"/>
        </w:rPr>
        <w:t xml:space="preserve"> 6 maggio 2013, n. 10400.</w:t>
      </w:r>
    </w:p>
  </w:footnote>
  <w:footnote w:id="4">
    <w:p w14:paraId="05FCCFFA"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decisione del  21 luglio-29 settembre</w:t>
      </w:r>
      <w:r>
        <w:rPr>
          <w:rFonts w:ascii="Times New Roman" w:hAnsi="Times New Roman"/>
          <w:sz w:val="20"/>
          <w:szCs w:val="20"/>
        </w:rPr>
        <w:t xml:space="preserve"> </w:t>
      </w:r>
      <w:r w:rsidRPr="00D25ABF">
        <w:rPr>
          <w:rFonts w:ascii="Times New Roman" w:hAnsi="Times New Roman"/>
          <w:sz w:val="20"/>
          <w:szCs w:val="20"/>
        </w:rPr>
        <w:t>2011.</w:t>
      </w:r>
    </w:p>
  </w:footnote>
  <w:footnote w:id="5">
    <w:p w14:paraId="4EC34A6A"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w:t>
      </w:r>
      <w:r w:rsidRPr="00D25ABF">
        <w:rPr>
          <w:rFonts w:ascii="Times New Roman" w:hAnsi="Times New Roman"/>
          <w:sz w:val="20"/>
          <w:szCs w:val="20"/>
        </w:rPr>
        <w:t>le questioni di legittimità costituzionale sollevate dalla Corte di cassazione, Sezioni Unite civili, con ordinanza  31 marzo  1977 n. 408 e con  ordinanze 10 luglio 1980, n. 315 e n. 316. Questioni che poi condussero alla sentenza della Corte costituzionale n. 154 del 1985, di cui di seguito nel testo.</w:t>
      </w:r>
    </w:p>
    <w:p w14:paraId="350A9EDF" w14:textId="77777777" w:rsidR="005B65CD" w:rsidRPr="00D25ABF" w:rsidRDefault="005B65CD" w:rsidP="00D25ABF">
      <w:pPr>
        <w:pStyle w:val="Testonotaapidipagina"/>
        <w:ind w:firstLine="709"/>
        <w:jc w:val="both"/>
        <w:rPr>
          <w:rFonts w:ascii="Times New Roman" w:hAnsi="Times New Roman"/>
          <w:sz w:val="20"/>
          <w:szCs w:val="20"/>
        </w:rPr>
      </w:pPr>
      <w:r w:rsidRPr="00D25ABF">
        <w:rPr>
          <w:rFonts w:ascii="Times New Roman" w:hAnsi="Times New Roman"/>
          <w:sz w:val="20"/>
          <w:szCs w:val="20"/>
        </w:rPr>
        <w:t xml:space="preserve">     Ma per  un indirizzo in senso opposto segu</w:t>
      </w:r>
      <w:r>
        <w:rPr>
          <w:rFonts w:ascii="Times New Roman" w:hAnsi="Times New Roman"/>
          <w:sz w:val="20"/>
          <w:szCs w:val="20"/>
        </w:rPr>
        <w:t xml:space="preserve">ito  dalla Corte di cassazione dopo la </w:t>
      </w:r>
      <w:proofErr w:type="spellStart"/>
      <w:r>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154 del 1985, v. G. M</w:t>
      </w:r>
      <w:r w:rsidRPr="00FE2054">
        <w:rPr>
          <w:rFonts w:ascii="Times New Roman" w:hAnsi="Times New Roman"/>
          <w:smallCaps/>
          <w:sz w:val="20"/>
          <w:szCs w:val="20"/>
        </w:rPr>
        <w:t>alinconico</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7 ss.</w:t>
      </w:r>
    </w:p>
  </w:footnote>
  <w:footnote w:id="6">
    <w:p w14:paraId="737DAD19" w14:textId="77777777" w:rsidR="005B65CD" w:rsidRPr="00FE2054" w:rsidRDefault="005B65CD" w:rsidP="00D25ABF">
      <w:pPr>
        <w:pStyle w:val="Testonotaapidipagina"/>
        <w:ind w:firstLine="709"/>
        <w:jc w:val="both"/>
        <w:rPr>
          <w:rFonts w:ascii="Times New Roman" w:hAnsi="Times New Roman"/>
          <w:sz w:val="20"/>
          <w:szCs w:val="20"/>
          <w:lang w:val="en-US"/>
        </w:rPr>
      </w:pPr>
      <w:r w:rsidRPr="00D25ABF">
        <w:rPr>
          <w:rStyle w:val="Rimandonotaapidipagina"/>
          <w:rFonts w:ascii="Times New Roman" w:hAnsi="Times New Roman"/>
          <w:sz w:val="20"/>
          <w:szCs w:val="20"/>
        </w:rPr>
        <w:footnoteRef/>
      </w:r>
      <w:r w:rsidRPr="00FE2054">
        <w:rPr>
          <w:rFonts w:ascii="Times New Roman" w:hAnsi="Times New Roman"/>
          <w:sz w:val="20"/>
          <w:szCs w:val="20"/>
          <w:lang w:val="en-US"/>
        </w:rPr>
        <w:t xml:space="preserve"> V. Corte cost</w:t>
      </w:r>
      <w:proofErr w:type="gramStart"/>
      <w:r w:rsidRPr="00FE2054">
        <w:rPr>
          <w:rFonts w:ascii="Times New Roman" w:hAnsi="Times New Roman"/>
          <w:sz w:val="20"/>
          <w:szCs w:val="20"/>
          <w:lang w:val="en-US"/>
        </w:rPr>
        <w:t>.,</w:t>
      </w:r>
      <w:proofErr w:type="gramEnd"/>
      <w:r w:rsidRPr="00FE2054">
        <w:rPr>
          <w:rFonts w:ascii="Times New Roman" w:hAnsi="Times New Roman"/>
          <w:sz w:val="20"/>
          <w:szCs w:val="20"/>
          <w:lang w:val="en-US"/>
        </w:rPr>
        <w:t xml:space="preserve"> sent. </w:t>
      </w:r>
      <w:proofErr w:type="gramStart"/>
      <w:r w:rsidRPr="00FE2054">
        <w:rPr>
          <w:rFonts w:ascii="Times New Roman" w:hAnsi="Times New Roman"/>
          <w:sz w:val="20"/>
          <w:szCs w:val="20"/>
          <w:lang w:val="en-US"/>
        </w:rPr>
        <w:t>n</w:t>
      </w:r>
      <w:proofErr w:type="gramEnd"/>
      <w:r w:rsidRPr="00FE2054">
        <w:rPr>
          <w:rFonts w:ascii="Times New Roman" w:hAnsi="Times New Roman"/>
          <w:sz w:val="20"/>
          <w:szCs w:val="20"/>
          <w:lang w:val="en-US"/>
        </w:rPr>
        <w:t>, 154 del 1985.</w:t>
      </w:r>
    </w:p>
  </w:footnote>
  <w:footnote w:id="7">
    <w:p w14:paraId="37667AFD"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w:t>
      </w:r>
      <w:proofErr w:type="spellStart"/>
      <w:r w:rsidRPr="00D25ABF">
        <w:rPr>
          <w:rFonts w:ascii="Times New Roman" w:hAnsi="Times New Roman"/>
          <w:sz w:val="20"/>
          <w:szCs w:val="20"/>
        </w:rPr>
        <w:t>cost</w:t>
      </w:r>
      <w:proofErr w:type="spellEnd"/>
      <w:r>
        <w:rPr>
          <w:rFonts w:ascii="Times New Roman" w:hAnsi="Times New Roman"/>
          <w:sz w:val="20"/>
          <w:szCs w:val="20"/>
        </w:rPr>
        <w:t>.</w:t>
      </w:r>
      <w:r w:rsidRPr="00D25ABF">
        <w:rPr>
          <w:rFonts w:ascii="Times New Roman" w:hAnsi="Times New Roman"/>
          <w:sz w:val="20"/>
          <w:szCs w:val="20"/>
        </w:rPr>
        <w:t xml:space="preserve">, </w:t>
      </w:r>
      <w:proofErr w:type="spellStart"/>
      <w:r w:rsidRPr="00D25ABF">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120 del 2014, punto 4.1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8">
    <w:p w14:paraId="71890CC1"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A. R</w:t>
      </w:r>
      <w:r w:rsidRPr="00FE2054">
        <w:rPr>
          <w:rFonts w:ascii="Times New Roman" w:hAnsi="Times New Roman"/>
          <w:smallCaps/>
          <w:sz w:val="20"/>
          <w:szCs w:val="20"/>
        </w:rPr>
        <w:t>uggeri</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xml:space="preserve"> 1 ss.</w:t>
      </w:r>
    </w:p>
  </w:footnote>
  <w:footnote w:id="9">
    <w:p w14:paraId="31BB47F1"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A. R</w:t>
      </w:r>
      <w:r w:rsidRPr="00FE2054">
        <w:rPr>
          <w:rFonts w:ascii="Times New Roman" w:hAnsi="Times New Roman"/>
          <w:smallCaps/>
          <w:sz w:val="20"/>
          <w:szCs w:val="20"/>
        </w:rPr>
        <w:t>uggeri</w:t>
      </w:r>
      <w:r w:rsidRPr="00D25ABF">
        <w:rPr>
          <w:rFonts w:ascii="Times New Roman" w:hAnsi="Times New Roman"/>
          <w:sz w:val="20"/>
          <w:szCs w:val="20"/>
        </w:rPr>
        <w:t xml:space="preserve">, </w:t>
      </w:r>
      <w:r w:rsidRPr="00D25ABF">
        <w:rPr>
          <w:rFonts w:ascii="Times New Roman" w:hAnsi="Times New Roman"/>
          <w:i/>
          <w:sz w:val="20"/>
          <w:szCs w:val="20"/>
        </w:rPr>
        <w:t xml:space="preserve">op. cit., </w:t>
      </w:r>
      <w:r w:rsidRPr="00D25ABF">
        <w:rPr>
          <w:rFonts w:ascii="Times New Roman" w:hAnsi="Times New Roman"/>
          <w:sz w:val="20"/>
          <w:szCs w:val="20"/>
        </w:rPr>
        <w:t>1.</w:t>
      </w:r>
    </w:p>
  </w:footnote>
  <w:footnote w:id="10">
    <w:p w14:paraId="78C3BDE4"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T. F. </w:t>
      </w:r>
      <w:proofErr w:type="spellStart"/>
      <w:r w:rsidRPr="00D25ABF">
        <w:rPr>
          <w:rFonts w:ascii="Times New Roman" w:hAnsi="Times New Roman"/>
          <w:sz w:val="20"/>
          <w:szCs w:val="20"/>
        </w:rPr>
        <w:t>G</w:t>
      </w:r>
      <w:r w:rsidRPr="00FE2054">
        <w:rPr>
          <w:rFonts w:ascii="Times New Roman" w:hAnsi="Times New Roman"/>
          <w:smallCaps/>
          <w:sz w:val="20"/>
          <w:szCs w:val="20"/>
        </w:rPr>
        <w:t>iupponi</w:t>
      </w:r>
      <w:proofErr w:type="spellEnd"/>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xml:space="preserve">.; R. </w:t>
      </w:r>
      <w:proofErr w:type="spellStart"/>
      <w:r w:rsidRPr="00D25ABF">
        <w:rPr>
          <w:rFonts w:ascii="Times New Roman" w:hAnsi="Times New Roman"/>
          <w:sz w:val="20"/>
          <w:szCs w:val="20"/>
        </w:rPr>
        <w:t>D</w:t>
      </w:r>
      <w:r w:rsidRPr="00FE2054">
        <w:rPr>
          <w:rFonts w:ascii="Times New Roman" w:hAnsi="Times New Roman"/>
          <w:smallCaps/>
          <w:sz w:val="20"/>
          <w:szCs w:val="20"/>
        </w:rPr>
        <w:t>ickmann</w:t>
      </w:r>
      <w:proofErr w:type="spellEnd"/>
      <w:r w:rsidRPr="00D25ABF">
        <w:rPr>
          <w:rFonts w:ascii="Times New Roman" w:hAnsi="Times New Roman"/>
          <w:sz w:val="20"/>
          <w:szCs w:val="20"/>
        </w:rPr>
        <w:t xml:space="preserve">, </w:t>
      </w:r>
      <w:r w:rsidRPr="00D25ABF">
        <w:rPr>
          <w:rFonts w:ascii="Times New Roman" w:hAnsi="Times New Roman"/>
          <w:i/>
          <w:sz w:val="20"/>
          <w:szCs w:val="20"/>
        </w:rPr>
        <w:t>op. cit.</w:t>
      </w:r>
    </w:p>
  </w:footnote>
  <w:footnote w:id="11">
    <w:p w14:paraId="0858CFC3"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R. I</w:t>
      </w:r>
      <w:r w:rsidRPr="00FE2054">
        <w:rPr>
          <w:rFonts w:ascii="Times New Roman" w:hAnsi="Times New Roman"/>
          <w:smallCaps/>
          <w:sz w:val="20"/>
          <w:szCs w:val="20"/>
        </w:rPr>
        <w:t>brido</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3.</w:t>
      </w:r>
    </w:p>
  </w:footnote>
  <w:footnote w:id="12">
    <w:p w14:paraId="52273019"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w:t>
      </w:r>
      <w:proofErr w:type="spellStart"/>
      <w:r w:rsidRPr="00D25ABF">
        <w:rPr>
          <w:rFonts w:ascii="Times New Roman" w:hAnsi="Times New Roman"/>
          <w:sz w:val="20"/>
          <w:szCs w:val="20"/>
        </w:rPr>
        <w:t>cost</w:t>
      </w:r>
      <w:proofErr w:type="spellEnd"/>
      <w:r>
        <w:rPr>
          <w:rFonts w:ascii="Times New Roman" w:hAnsi="Times New Roman"/>
          <w:sz w:val="20"/>
          <w:szCs w:val="20"/>
        </w:rPr>
        <w:t>.</w:t>
      </w:r>
      <w:r w:rsidRPr="00D25ABF">
        <w:rPr>
          <w:rFonts w:ascii="Times New Roman" w:hAnsi="Times New Roman"/>
          <w:sz w:val="20"/>
          <w:szCs w:val="20"/>
        </w:rPr>
        <w:t xml:space="preserve">, </w:t>
      </w:r>
      <w:proofErr w:type="spellStart"/>
      <w:r w:rsidRPr="00D25ABF">
        <w:rPr>
          <w:rFonts w:ascii="Times New Roman" w:hAnsi="Times New Roman"/>
          <w:sz w:val="20"/>
          <w:szCs w:val="20"/>
        </w:rPr>
        <w:t>sent</w:t>
      </w:r>
      <w:proofErr w:type="spellEnd"/>
      <w:r>
        <w:rPr>
          <w:rFonts w:ascii="Times New Roman" w:hAnsi="Times New Roman"/>
          <w:sz w:val="20"/>
          <w:szCs w:val="20"/>
        </w:rPr>
        <w:t xml:space="preserve">. </w:t>
      </w:r>
      <w:r w:rsidRPr="00D25ABF">
        <w:rPr>
          <w:rFonts w:ascii="Times New Roman" w:hAnsi="Times New Roman"/>
          <w:sz w:val="20"/>
          <w:szCs w:val="20"/>
        </w:rPr>
        <w:t xml:space="preserve">n. 154 del 1985, punto 4.4 del </w:t>
      </w:r>
      <w:proofErr w:type="spellStart"/>
      <w:r>
        <w:rPr>
          <w:rFonts w:ascii="Times New Roman" w:hAnsi="Times New Roman"/>
          <w:i/>
          <w:sz w:val="20"/>
          <w:szCs w:val="20"/>
        </w:rPr>
        <w:t>cons</w:t>
      </w:r>
      <w:proofErr w:type="spellEnd"/>
      <w:r>
        <w:rPr>
          <w:rFonts w:ascii="Times New Roman" w:hAnsi="Times New Roman"/>
          <w:i/>
          <w:sz w:val="20"/>
          <w:szCs w:val="20"/>
        </w:rPr>
        <w:t>. in dir</w:t>
      </w:r>
      <w:r>
        <w:rPr>
          <w:rFonts w:ascii="Times New Roman" w:hAnsi="Times New Roman"/>
          <w:sz w:val="20"/>
          <w:szCs w:val="20"/>
        </w:rPr>
        <w:t>., «i</w:t>
      </w:r>
      <w:r w:rsidRPr="00D25ABF">
        <w:rPr>
          <w:rFonts w:ascii="Times New Roman" w:hAnsi="Times New Roman"/>
          <w:sz w:val="20"/>
          <w:szCs w:val="20"/>
        </w:rPr>
        <w:t xml:space="preserve">n quanto al dubbio sulla compatibilità dell’autodichia delle Camere con i principi costituzionali in tema di giurisdizione – affermò la Corte quasi in un </w:t>
      </w:r>
      <w:proofErr w:type="spellStart"/>
      <w:r w:rsidRPr="00D25ABF">
        <w:rPr>
          <w:rFonts w:ascii="Times New Roman" w:hAnsi="Times New Roman"/>
          <w:i/>
          <w:sz w:val="20"/>
          <w:szCs w:val="20"/>
        </w:rPr>
        <w:t>obiter</w:t>
      </w:r>
      <w:proofErr w:type="spellEnd"/>
      <w:r>
        <w:rPr>
          <w:rFonts w:ascii="Times New Roman" w:hAnsi="Times New Roman"/>
          <w:i/>
          <w:sz w:val="20"/>
          <w:szCs w:val="20"/>
        </w:rPr>
        <w:t xml:space="preserve"> </w:t>
      </w:r>
      <w:proofErr w:type="spellStart"/>
      <w:r w:rsidRPr="00D25ABF">
        <w:rPr>
          <w:rFonts w:ascii="Times New Roman" w:hAnsi="Times New Roman"/>
          <w:i/>
          <w:sz w:val="20"/>
          <w:szCs w:val="20"/>
        </w:rPr>
        <w:t>dictum</w:t>
      </w:r>
      <w:proofErr w:type="spellEnd"/>
      <w:r>
        <w:rPr>
          <w:rFonts w:ascii="Times New Roman" w:hAnsi="Times New Roman"/>
          <w:i/>
          <w:sz w:val="20"/>
          <w:szCs w:val="20"/>
        </w:rPr>
        <w:t xml:space="preserve"> </w:t>
      </w:r>
      <w:r w:rsidRPr="00D25ABF">
        <w:rPr>
          <w:rFonts w:ascii="Times New Roman" w:hAnsi="Times New Roman"/>
          <w:sz w:val="20"/>
          <w:szCs w:val="20"/>
        </w:rPr>
        <w:t>– non può non convenirsi col giudice a quo, anche sulla base di principi contenuti in convenzioni internazionali, che indipendenza ed imparzialità dell’organo che decide, garanzia di difesa, tempo ragionevole, in quanto coessenziali al concetto stesso di una effettiva tutela, sono indefettibili nella defini</w:t>
      </w:r>
      <w:r>
        <w:rPr>
          <w:rFonts w:ascii="Times New Roman" w:hAnsi="Times New Roman"/>
          <w:sz w:val="20"/>
          <w:szCs w:val="20"/>
        </w:rPr>
        <w:t>zione di qualsiasi controversia»</w:t>
      </w:r>
      <w:r w:rsidRPr="00D25ABF">
        <w:rPr>
          <w:rFonts w:ascii="Times New Roman" w:hAnsi="Times New Roman"/>
          <w:sz w:val="20"/>
          <w:szCs w:val="20"/>
        </w:rPr>
        <w:t>.</w:t>
      </w:r>
    </w:p>
  </w:footnote>
  <w:footnote w:id="13">
    <w:p w14:paraId="446D1B21"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M. M</w:t>
      </w:r>
      <w:r w:rsidRPr="0001336B">
        <w:rPr>
          <w:rFonts w:ascii="Times New Roman" w:hAnsi="Times New Roman"/>
          <w:smallCaps/>
          <w:sz w:val="20"/>
          <w:szCs w:val="20"/>
        </w:rPr>
        <w:t>anetti</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xml:space="preserve">  3.</w:t>
      </w:r>
    </w:p>
  </w:footnote>
  <w:footnote w:id="14">
    <w:p w14:paraId="28B697FB"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Profilo, questo che la Corte cercò piuttosto di evitare.</w:t>
      </w:r>
    </w:p>
  </w:footnote>
  <w:footnote w:id="15">
    <w:p w14:paraId="7FF14D99"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costi</w:t>
      </w:r>
      <w:r>
        <w:rPr>
          <w:rFonts w:ascii="Times New Roman" w:hAnsi="Times New Roman"/>
          <w:sz w:val="20"/>
          <w:szCs w:val="20"/>
        </w:rPr>
        <w:t>.</w:t>
      </w:r>
      <w:r w:rsidRPr="00D25ABF">
        <w:rPr>
          <w:rFonts w:ascii="Times New Roman" w:hAnsi="Times New Roman"/>
          <w:sz w:val="20"/>
          <w:szCs w:val="20"/>
        </w:rPr>
        <w:t xml:space="preserve">, </w:t>
      </w:r>
      <w:proofErr w:type="spellStart"/>
      <w:r w:rsidRPr="00D25ABF">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154 del 1985, punto 5.1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16">
    <w:p w14:paraId="673AE97B"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cost</w:t>
      </w:r>
      <w:proofErr w:type="spellEnd"/>
      <w:r>
        <w:rPr>
          <w:rFonts w:ascii="Times New Roman" w:hAnsi="Times New Roman"/>
          <w:sz w:val="20"/>
          <w:szCs w:val="20"/>
        </w:rPr>
        <w:t xml:space="preserve">., </w:t>
      </w:r>
      <w:proofErr w:type="spellStart"/>
      <w:r>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120 del 2014, punto 4.2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17">
    <w:p w14:paraId="5A1BFA1C"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costituzionale, sente</w:t>
      </w:r>
      <w:r>
        <w:rPr>
          <w:rFonts w:ascii="Times New Roman" w:hAnsi="Times New Roman"/>
          <w:sz w:val="20"/>
          <w:szCs w:val="20"/>
        </w:rPr>
        <w:t>.</w:t>
      </w:r>
      <w:r w:rsidRPr="00D25ABF">
        <w:rPr>
          <w:rFonts w:ascii="Times New Roman" w:hAnsi="Times New Roman"/>
          <w:sz w:val="20"/>
          <w:szCs w:val="20"/>
        </w:rPr>
        <w:t xml:space="preserve"> n. 120 del 2014, punto 4.4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E5BA5">
        <w:rPr>
          <w:rFonts w:ascii="Times New Roman" w:hAnsi="Times New Roman"/>
          <w:i/>
          <w:sz w:val="20"/>
          <w:szCs w:val="20"/>
        </w:rPr>
        <w:t>.</w:t>
      </w:r>
    </w:p>
  </w:footnote>
  <w:footnote w:id="18">
    <w:p w14:paraId="7E56E99F"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a seguito della sentenza del 1985, la delibera Del Consiglio di presidenza del Senato del 10 gennaio 1986 (decreto n. 6314 del 1 febbraio 1988) e la delibera dell’Ufficio di presidenza della Camera del 28 aprile 1988 (decreto n. 420 del 16 maggio 1988). Modifiche con le quali, andando incontro alle obiezioni della Corte, fu introdotto un doppio grado di giurisdizione e furono previste maggiori garanzie nel procedimento.</w:t>
      </w:r>
    </w:p>
    <w:p w14:paraId="674D76B7" w14:textId="77777777" w:rsidR="005B65CD" w:rsidRPr="00D25ABF" w:rsidRDefault="005B65CD" w:rsidP="00D25ABF">
      <w:pPr>
        <w:pStyle w:val="Testonotaapidipagina"/>
        <w:ind w:firstLine="709"/>
        <w:jc w:val="both"/>
        <w:rPr>
          <w:rFonts w:ascii="Times New Roman" w:hAnsi="Times New Roman"/>
          <w:sz w:val="20"/>
          <w:szCs w:val="20"/>
        </w:rPr>
      </w:pPr>
      <w:r w:rsidRPr="00D25ABF">
        <w:rPr>
          <w:rFonts w:ascii="Times New Roman" w:hAnsi="Times New Roman"/>
          <w:sz w:val="20"/>
          <w:szCs w:val="20"/>
        </w:rPr>
        <w:t xml:space="preserve">   Su cui v. F.G. </w:t>
      </w:r>
      <w:proofErr w:type="spellStart"/>
      <w:r w:rsidRPr="00D25ABF">
        <w:rPr>
          <w:rFonts w:ascii="Times New Roman" w:hAnsi="Times New Roman"/>
          <w:sz w:val="20"/>
          <w:szCs w:val="20"/>
        </w:rPr>
        <w:t>S</w:t>
      </w:r>
      <w:r w:rsidRPr="0001336B">
        <w:rPr>
          <w:rFonts w:ascii="Times New Roman" w:hAnsi="Times New Roman"/>
          <w:smallCaps/>
          <w:sz w:val="20"/>
          <w:szCs w:val="20"/>
        </w:rPr>
        <w:t>coca</w:t>
      </w:r>
      <w:proofErr w:type="spellEnd"/>
      <w:r w:rsidRPr="00D25ABF">
        <w:rPr>
          <w:rFonts w:ascii="Times New Roman" w:hAnsi="Times New Roman"/>
          <w:sz w:val="20"/>
          <w:szCs w:val="20"/>
        </w:rPr>
        <w:t xml:space="preserve">, </w:t>
      </w:r>
      <w:r w:rsidRPr="00D25ABF">
        <w:rPr>
          <w:rFonts w:ascii="Times New Roman" w:hAnsi="Times New Roman"/>
          <w:i/>
          <w:sz w:val="20"/>
          <w:szCs w:val="20"/>
        </w:rPr>
        <w:t xml:space="preserve">Operazione cosmetica per i giudici parlamentari, </w:t>
      </w:r>
      <w:r w:rsidRPr="00D25ABF">
        <w:rPr>
          <w:rFonts w:ascii="Times New Roman" w:hAnsi="Times New Roman"/>
          <w:sz w:val="20"/>
          <w:szCs w:val="20"/>
        </w:rPr>
        <w:t xml:space="preserve">in </w:t>
      </w:r>
      <w:r w:rsidRPr="00D25ABF">
        <w:rPr>
          <w:rFonts w:ascii="Times New Roman" w:hAnsi="Times New Roman"/>
          <w:i/>
          <w:sz w:val="20"/>
          <w:szCs w:val="20"/>
        </w:rPr>
        <w:t xml:space="preserve">Dir. </w:t>
      </w:r>
      <w:proofErr w:type="spellStart"/>
      <w:r w:rsidRPr="00D25ABF">
        <w:rPr>
          <w:rFonts w:ascii="Times New Roman" w:hAnsi="Times New Roman"/>
          <w:i/>
          <w:sz w:val="20"/>
          <w:szCs w:val="20"/>
        </w:rPr>
        <w:t>proc</w:t>
      </w:r>
      <w:proofErr w:type="spellEnd"/>
      <w:r w:rsidRPr="00D25ABF">
        <w:rPr>
          <w:rFonts w:ascii="Times New Roman" w:hAnsi="Times New Roman"/>
          <w:i/>
          <w:sz w:val="20"/>
          <w:szCs w:val="20"/>
        </w:rPr>
        <w:t xml:space="preserve">. </w:t>
      </w:r>
      <w:proofErr w:type="spellStart"/>
      <w:r w:rsidRPr="00D25ABF">
        <w:rPr>
          <w:rFonts w:ascii="Times New Roman" w:hAnsi="Times New Roman"/>
          <w:i/>
          <w:sz w:val="20"/>
          <w:szCs w:val="20"/>
        </w:rPr>
        <w:t>amm</w:t>
      </w:r>
      <w:proofErr w:type="spellEnd"/>
      <w:r w:rsidRPr="00D25ABF">
        <w:rPr>
          <w:rFonts w:ascii="Times New Roman" w:hAnsi="Times New Roman"/>
          <w:i/>
          <w:sz w:val="20"/>
          <w:szCs w:val="20"/>
        </w:rPr>
        <w:t>.</w:t>
      </w:r>
      <w:r w:rsidRPr="00D25ABF">
        <w:rPr>
          <w:rFonts w:ascii="Times New Roman" w:hAnsi="Times New Roman"/>
          <w:sz w:val="20"/>
          <w:szCs w:val="20"/>
        </w:rPr>
        <w:t>, 1988,  491 ss.</w:t>
      </w:r>
    </w:p>
  </w:footnote>
  <w:footnote w:id="19">
    <w:p w14:paraId="21D0315C"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sentenza Savino ed altri c. Italia del 26 aprile 2009, a seguito della quale, al fine di rimuovere le carenze denunciate dalla Corte </w:t>
      </w:r>
      <w:proofErr w:type="spellStart"/>
      <w:r w:rsidRPr="00D25ABF">
        <w:rPr>
          <w:rFonts w:ascii="Times New Roman" w:hAnsi="Times New Roman"/>
          <w:sz w:val="20"/>
          <w:szCs w:val="20"/>
        </w:rPr>
        <w:t>Edu</w:t>
      </w:r>
      <w:proofErr w:type="spellEnd"/>
      <w:r w:rsidRPr="00D25ABF">
        <w:rPr>
          <w:rFonts w:ascii="Times New Roman" w:hAnsi="Times New Roman"/>
          <w:sz w:val="20"/>
          <w:szCs w:val="20"/>
        </w:rPr>
        <w:t xml:space="preserve"> che avevano portato alla condanna dello Stato italiano per violazione dell’art. 6. 1 della CEDU, seguirono ulteriori modifiche al regolamento della Camera e ai regolamenti minori, tese ad assicurare maggiori garanzie di indipendenza degli organi giudicanti.  Su cui G. M</w:t>
      </w:r>
      <w:r w:rsidRPr="0001336B">
        <w:rPr>
          <w:rFonts w:ascii="Times New Roman" w:hAnsi="Times New Roman"/>
          <w:smallCaps/>
          <w:sz w:val="20"/>
          <w:szCs w:val="20"/>
        </w:rPr>
        <w:t>alinconico</w:t>
      </w:r>
      <w:r w:rsidRPr="00D25ABF">
        <w:rPr>
          <w:rFonts w:ascii="Times New Roman" w:hAnsi="Times New Roman"/>
          <w:sz w:val="20"/>
          <w:szCs w:val="20"/>
        </w:rPr>
        <w:t>,</w:t>
      </w:r>
      <w:r w:rsidRPr="00D25ABF">
        <w:rPr>
          <w:rFonts w:ascii="Times New Roman" w:hAnsi="Times New Roman"/>
          <w:i/>
          <w:sz w:val="20"/>
          <w:szCs w:val="20"/>
        </w:rPr>
        <w:t xml:space="preserve"> op. cit.</w:t>
      </w:r>
      <w:r w:rsidRPr="00D25ABF">
        <w:rPr>
          <w:rFonts w:ascii="Times New Roman" w:hAnsi="Times New Roman"/>
          <w:sz w:val="20"/>
          <w:szCs w:val="20"/>
        </w:rPr>
        <w:t>, 10 ss.</w:t>
      </w:r>
    </w:p>
    <w:p w14:paraId="4B0258F5" w14:textId="77777777" w:rsidR="005B65CD" w:rsidRPr="00D25ABF" w:rsidRDefault="005B65CD" w:rsidP="00D25ABF">
      <w:pPr>
        <w:pStyle w:val="Testonotaapidipagina"/>
        <w:ind w:firstLine="709"/>
        <w:jc w:val="both"/>
        <w:rPr>
          <w:rFonts w:ascii="Times New Roman" w:hAnsi="Times New Roman"/>
          <w:sz w:val="20"/>
          <w:szCs w:val="20"/>
        </w:rPr>
      </w:pPr>
      <w:r w:rsidRPr="00D25ABF">
        <w:rPr>
          <w:rFonts w:ascii="Times New Roman" w:hAnsi="Times New Roman"/>
          <w:sz w:val="20"/>
          <w:szCs w:val="20"/>
        </w:rPr>
        <w:t xml:space="preserve">   Su tale sentenza e sulle successive modifiche regolamentari v. C. </w:t>
      </w:r>
      <w:proofErr w:type="spellStart"/>
      <w:r w:rsidRPr="00D25ABF">
        <w:rPr>
          <w:rFonts w:ascii="Times New Roman" w:hAnsi="Times New Roman"/>
          <w:sz w:val="20"/>
          <w:szCs w:val="20"/>
        </w:rPr>
        <w:t>F</w:t>
      </w:r>
      <w:r w:rsidRPr="0001336B">
        <w:rPr>
          <w:rFonts w:ascii="Times New Roman" w:hAnsi="Times New Roman"/>
          <w:smallCaps/>
          <w:sz w:val="20"/>
          <w:szCs w:val="20"/>
        </w:rPr>
        <w:t>asone</w:t>
      </w:r>
      <w:proofErr w:type="spellEnd"/>
      <w:r w:rsidRPr="00D25ABF">
        <w:rPr>
          <w:rFonts w:ascii="Times New Roman" w:hAnsi="Times New Roman"/>
          <w:sz w:val="20"/>
          <w:szCs w:val="20"/>
        </w:rPr>
        <w:t xml:space="preserve">, </w:t>
      </w:r>
      <w:r w:rsidRPr="00D25ABF">
        <w:rPr>
          <w:rFonts w:ascii="Times New Roman" w:hAnsi="Times New Roman"/>
          <w:i/>
          <w:sz w:val="20"/>
          <w:szCs w:val="20"/>
        </w:rPr>
        <w:t xml:space="preserve">Autodichia delle Camere, regolamenti parlamentari e Convenzione europea dei diritti dell’uomo, </w:t>
      </w:r>
      <w:r w:rsidRPr="00D25ABF">
        <w:rPr>
          <w:rFonts w:ascii="Times New Roman" w:hAnsi="Times New Roman"/>
          <w:sz w:val="20"/>
          <w:szCs w:val="20"/>
        </w:rPr>
        <w:t>in</w:t>
      </w:r>
      <w:r w:rsidRPr="00D25ABF">
        <w:rPr>
          <w:rFonts w:ascii="Times New Roman" w:hAnsi="Times New Roman"/>
          <w:i/>
          <w:sz w:val="20"/>
          <w:szCs w:val="20"/>
        </w:rPr>
        <w:t xml:space="preserve"> www.osservatoriosullefonti.it. </w:t>
      </w:r>
      <w:r>
        <w:rPr>
          <w:rFonts w:ascii="Times New Roman" w:hAnsi="Times New Roman"/>
          <w:sz w:val="20"/>
          <w:szCs w:val="20"/>
        </w:rPr>
        <w:t>n. 2, 2009.</w:t>
      </w:r>
    </w:p>
  </w:footnote>
  <w:footnote w:id="20">
    <w:p w14:paraId="341B943C"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w:t>
      </w:r>
      <w:r w:rsidRPr="00D25ABF">
        <w:rPr>
          <w:rFonts w:ascii="Times New Roman" w:hAnsi="Times New Roman"/>
          <w:sz w:val="20"/>
          <w:szCs w:val="20"/>
        </w:rPr>
        <w:t>Sulla  base di una modifica dell’art.12 del regolamento della Camera intervenuta il 16 dicembre del 1998 e  del regolamento approvato Dall’Ufficio di Presidenza il 22 giugno dell’anno successivo, l’autodichia  è stata estesa anche  agli atti  di amministrazione della Camera  non inerenti al rapporto di impiego. Su cui v. E. L</w:t>
      </w:r>
      <w:r w:rsidRPr="0001336B">
        <w:rPr>
          <w:rFonts w:ascii="Times New Roman" w:hAnsi="Times New Roman"/>
          <w:smallCaps/>
          <w:sz w:val="20"/>
          <w:szCs w:val="20"/>
        </w:rPr>
        <w:t>ehner</w:t>
      </w:r>
      <w:r w:rsidRPr="00D25ABF">
        <w:rPr>
          <w:rFonts w:ascii="Times New Roman" w:hAnsi="Times New Roman"/>
          <w:sz w:val="20"/>
          <w:szCs w:val="20"/>
        </w:rPr>
        <w:t xml:space="preserve">, </w:t>
      </w:r>
      <w:r w:rsidRPr="00D25ABF">
        <w:rPr>
          <w:rFonts w:ascii="Times New Roman" w:hAnsi="Times New Roman"/>
          <w:i/>
          <w:sz w:val="20"/>
          <w:szCs w:val="20"/>
        </w:rPr>
        <w:t xml:space="preserve">“Regolamento per la tutela giurisdizionale relativa agli atti di amministrazione della Camera dei deputati non concernenti i dipendenti” vs. “giusto processo”. </w:t>
      </w:r>
      <w:proofErr w:type="spellStart"/>
      <w:r w:rsidRPr="00D25ABF">
        <w:rPr>
          <w:rFonts w:ascii="Times New Roman" w:hAnsi="Times New Roman"/>
          <w:i/>
          <w:sz w:val="20"/>
          <w:szCs w:val="20"/>
        </w:rPr>
        <w:t>Precettività</w:t>
      </w:r>
      <w:proofErr w:type="spellEnd"/>
      <w:r w:rsidRPr="00D25ABF">
        <w:rPr>
          <w:rFonts w:ascii="Times New Roman" w:hAnsi="Times New Roman"/>
          <w:i/>
          <w:sz w:val="20"/>
          <w:szCs w:val="20"/>
        </w:rPr>
        <w:t xml:space="preserve"> della Costituzione e primato del diritto comunitario,</w:t>
      </w:r>
      <w:r w:rsidRPr="00D25ABF">
        <w:rPr>
          <w:rFonts w:ascii="Times New Roman" w:hAnsi="Times New Roman"/>
          <w:sz w:val="20"/>
          <w:szCs w:val="20"/>
        </w:rPr>
        <w:t xml:space="preserve"> in </w:t>
      </w:r>
      <w:r w:rsidRPr="00D25ABF">
        <w:rPr>
          <w:rFonts w:ascii="Times New Roman" w:hAnsi="Times New Roman"/>
          <w:i/>
          <w:sz w:val="20"/>
          <w:szCs w:val="20"/>
        </w:rPr>
        <w:t xml:space="preserve">Giur. </w:t>
      </w:r>
      <w:proofErr w:type="spellStart"/>
      <w:r w:rsidRPr="00D25ABF">
        <w:rPr>
          <w:rFonts w:ascii="Times New Roman" w:hAnsi="Times New Roman"/>
          <w:i/>
          <w:sz w:val="20"/>
          <w:szCs w:val="20"/>
        </w:rPr>
        <w:t>cost</w:t>
      </w:r>
      <w:proofErr w:type="spellEnd"/>
      <w:r w:rsidRPr="00D25ABF">
        <w:rPr>
          <w:rFonts w:ascii="Times New Roman" w:hAnsi="Times New Roman"/>
          <w:i/>
          <w:sz w:val="20"/>
          <w:szCs w:val="20"/>
        </w:rPr>
        <w:t>.,</w:t>
      </w:r>
      <w:r w:rsidRPr="00D25ABF">
        <w:rPr>
          <w:rFonts w:ascii="Times New Roman" w:hAnsi="Times New Roman"/>
          <w:sz w:val="20"/>
          <w:szCs w:val="20"/>
        </w:rPr>
        <w:t xml:space="preserve"> 2002, 471 ss. Sul punto v. anche M. M</w:t>
      </w:r>
      <w:r w:rsidRPr="0001336B">
        <w:rPr>
          <w:rFonts w:ascii="Times New Roman" w:hAnsi="Times New Roman"/>
          <w:smallCaps/>
          <w:sz w:val="20"/>
          <w:szCs w:val="20"/>
        </w:rPr>
        <w:t>anetti</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xml:space="preserve"> 1.</w:t>
      </w:r>
    </w:p>
  </w:footnote>
  <w:footnote w:id="21">
    <w:p w14:paraId="2112847C"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costi</w:t>
      </w:r>
      <w:r>
        <w:rPr>
          <w:rFonts w:ascii="Times New Roman" w:hAnsi="Times New Roman"/>
          <w:sz w:val="20"/>
          <w:szCs w:val="20"/>
        </w:rPr>
        <w:t>.</w:t>
      </w:r>
      <w:r w:rsidRPr="00D25ABF">
        <w:rPr>
          <w:rFonts w:ascii="Times New Roman" w:hAnsi="Times New Roman"/>
          <w:sz w:val="20"/>
          <w:szCs w:val="20"/>
        </w:rPr>
        <w:t xml:space="preserve">, </w:t>
      </w:r>
      <w:proofErr w:type="spellStart"/>
      <w:r w:rsidRPr="00D25ABF">
        <w:rPr>
          <w:rFonts w:ascii="Times New Roman" w:hAnsi="Times New Roman"/>
          <w:sz w:val="20"/>
          <w:szCs w:val="20"/>
        </w:rPr>
        <w:t>sent</w:t>
      </w:r>
      <w:proofErr w:type="spellEnd"/>
      <w:r>
        <w:rPr>
          <w:rFonts w:ascii="Times New Roman" w:hAnsi="Times New Roman"/>
          <w:sz w:val="20"/>
          <w:szCs w:val="20"/>
        </w:rPr>
        <w:t xml:space="preserve">. </w:t>
      </w:r>
      <w:r w:rsidRPr="00D25ABF">
        <w:rPr>
          <w:rFonts w:ascii="Times New Roman" w:hAnsi="Times New Roman"/>
          <w:sz w:val="20"/>
          <w:szCs w:val="20"/>
        </w:rPr>
        <w:t xml:space="preserve"> n. 120 del 2014, punto 4.2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22">
    <w:p w14:paraId="5E7155D9"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Tra i molti e ricchi contributi offerti dalla dottrina in argomento v. in particolare, tra i più significativi, V. </w:t>
      </w:r>
      <w:proofErr w:type="spellStart"/>
      <w:r w:rsidRPr="00D25ABF">
        <w:rPr>
          <w:rFonts w:ascii="Times New Roman" w:hAnsi="Times New Roman"/>
          <w:sz w:val="20"/>
          <w:szCs w:val="20"/>
        </w:rPr>
        <w:t>C</w:t>
      </w:r>
      <w:r w:rsidRPr="0001336B">
        <w:rPr>
          <w:rFonts w:ascii="Times New Roman" w:hAnsi="Times New Roman"/>
          <w:smallCaps/>
          <w:sz w:val="20"/>
          <w:szCs w:val="20"/>
        </w:rPr>
        <w:t>risafulli</w:t>
      </w:r>
      <w:proofErr w:type="spellEnd"/>
      <w:r w:rsidRPr="00D25ABF">
        <w:rPr>
          <w:rFonts w:ascii="Times New Roman" w:hAnsi="Times New Roman"/>
          <w:sz w:val="20"/>
          <w:szCs w:val="20"/>
        </w:rPr>
        <w:t xml:space="preserve">, </w:t>
      </w:r>
      <w:r w:rsidRPr="00D25ABF">
        <w:rPr>
          <w:rFonts w:ascii="Times New Roman" w:hAnsi="Times New Roman"/>
          <w:i/>
          <w:sz w:val="20"/>
          <w:szCs w:val="20"/>
        </w:rPr>
        <w:t xml:space="preserve">Gerarchia e competenza nel sistema costituzionale delle fonti, </w:t>
      </w:r>
      <w:r w:rsidRPr="00D25ABF">
        <w:rPr>
          <w:rFonts w:ascii="Times New Roman" w:hAnsi="Times New Roman"/>
          <w:sz w:val="20"/>
          <w:szCs w:val="20"/>
        </w:rPr>
        <w:t xml:space="preserve">in </w:t>
      </w:r>
      <w:proofErr w:type="spellStart"/>
      <w:r w:rsidRPr="00D25ABF">
        <w:rPr>
          <w:rFonts w:ascii="Times New Roman" w:hAnsi="Times New Roman"/>
          <w:i/>
          <w:sz w:val="20"/>
          <w:szCs w:val="20"/>
        </w:rPr>
        <w:t>Riv</w:t>
      </w:r>
      <w:proofErr w:type="spellEnd"/>
      <w:r w:rsidRPr="00D25ABF">
        <w:rPr>
          <w:rFonts w:ascii="Times New Roman" w:hAnsi="Times New Roman"/>
          <w:i/>
          <w:sz w:val="20"/>
          <w:szCs w:val="20"/>
        </w:rPr>
        <w:t>. trim. dir. pubbl.,</w:t>
      </w:r>
      <w:r w:rsidRPr="00D25ABF">
        <w:rPr>
          <w:rFonts w:ascii="Times New Roman" w:hAnsi="Times New Roman"/>
          <w:sz w:val="20"/>
          <w:szCs w:val="20"/>
        </w:rPr>
        <w:t>1960, 775 ss.; G.G. F</w:t>
      </w:r>
      <w:r w:rsidRPr="0001336B">
        <w:rPr>
          <w:rFonts w:ascii="Times New Roman" w:hAnsi="Times New Roman"/>
          <w:smallCaps/>
          <w:sz w:val="20"/>
          <w:szCs w:val="20"/>
        </w:rPr>
        <w:t>loridia</w:t>
      </w:r>
      <w:r w:rsidRPr="00D25ABF">
        <w:rPr>
          <w:rFonts w:ascii="Times New Roman" w:hAnsi="Times New Roman"/>
          <w:sz w:val="20"/>
          <w:szCs w:val="20"/>
        </w:rPr>
        <w:t xml:space="preserve">, </w:t>
      </w:r>
      <w:r w:rsidRPr="00D25ABF">
        <w:rPr>
          <w:rFonts w:ascii="Times New Roman" w:hAnsi="Times New Roman"/>
          <w:i/>
          <w:sz w:val="20"/>
          <w:szCs w:val="20"/>
        </w:rPr>
        <w:t>Il regolamento parlamentare nel sistema delle fonti, Milano, 1986 ;</w:t>
      </w:r>
      <w:r w:rsidRPr="00D25ABF">
        <w:rPr>
          <w:rFonts w:ascii="Times New Roman" w:hAnsi="Times New Roman"/>
          <w:sz w:val="20"/>
          <w:szCs w:val="20"/>
        </w:rPr>
        <w:t>M. M</w:t>
      </w:r>
      <w:r w:rsidRPr="0001336B">
        <w:rPr>
          <w:rFonts w:ascii="Times New Roman" w:hAnsi="Times New Roman"/>
          <w:smallCaps/>
          <w:sz w:val="20"/>
          <w:szCs w:val="20"/>
        </w:rPr>
        <w:t>anetti</w:t>
      </w:r>
      <w:r w:rsidRPr="00D25ABF">
        <w:rPr>
          <w:rFonts w:ascii="Times New Roman" w:hAnsi="Times New Roman"/>
          <w:sz w:val="20"/>
          <w:szCs w:val="20"/>
        </w:rPr>
        <w:t xml:space="preserve">, </w:t>
      </w:r>
      <w:r w:rsidRPr="00D25ABF">
        <w:rPr>
          <w:rFonts w:ascii="Times New Roman" w:hAnsi="Times New Roman"/>
          <w:i/>
          <w:sz w:val="20"/>
          <w:szCs w:val="20"/>
        </w:rPr>
        <w:t xml:space="preserve">Regolamenti parlamentari, </w:t>
      </w:r>
      <w:r w:rsidRPr="00D25ABF">
        <w:rPr>
          <w:rFonts w:ascii="Times New Roman" w:hAnsi="Times New Roman"/>
          <w:sz w:val="20"/>
          <w:szCs w:val="20"/>
        </w:rPr>
        <w:t xml:space="preserve">in </w:t>
      </w:r>
      <w:proofErr w:type="spellStart"/>
      <w:r w:rsidRPr="00D25ABF">
        <w:rPr>
          <w:rFonts w:ascii="Times New Roman" w:hAnsi="Times New Roman"/>
          <w:i/>
          <w:sz w:val="20"/>
          <w:szCs w:val="20"/>
        </w:rPr>
        <w:t>Enc</w:t>
      </w:r>
      <w:proofErr w:type="spellEnd"/>
      <w:r w:rsidRPr="00D25ABF">
        <w:rPr>
          <w:rFonts w:ascii="Times New Roman" w:hAnsi="Times New Roman"/>
          <w:i/>
          <w:sz w:val="20"/>
          <w:szCs w:val="20"/>
        </w:rPr>
        <w:t>. dir.,</w:t>
      </w:r>
      <w:r w:rsidRPr="00D25ABF">
        <w:rPr>
          <w:rFonts w:ascii="Times New Roman" w:hAnsi="Times New Roman"/>
          <w:sz w:val="20"/>
          <w:szCs w:val="20"/>
        </w:rPr>
        <w:t xml:space="preserve"> XXXIX, Milano, 1988, 638 ss.</w:t>
      </w:r>
    </w:p>
  </w:footnote>
  <w:footnote w:id="23">
    <w:p w14:paraId="3CF746A4"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Ma v. le osservazioni di segno nettamente contrario di M. M</w:t>
      </w:r>
      <w:r w:rsidRPr="0001336B">
        <w:rPr>
          <w:rFonts w:ascii="Times New Roman" w:hAnsi="Times New Roman"/>
          <w:smallCaps/>
          <w:sz w:val="20"/>
          <w:szCs w:val="20"/>
        </w:rPr>
        <w:t>anetti</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6 ss.</w:t>
      </w:r>
    </w:p>
  </w:footnote>
  <w:footnote w:id="24">
    <w:p w14:paraId="755DCF20"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cost</w:t>
      </w:r>
      <w:proofErr w:type="spellEnd"/>
      <w:r>
        <w:rPr>
          <w:rFonts w:ascii="Times New Roman" w:hAnsi="Times New Roman"/>
          <w:sz w:val="20"/>
          <w:szCs w:val="20"/>
        </w:rPr>
        <w:t>.</w:t>
      </w:r>
      <w:r w:rsidRPr="00D25ABF">
        <w:rPr>
          <w:rFonts w:ascii="Times New Roman" w:hAnsi="Times New Roman"/>
          <w:sz w:val="20"/>
          <w:szCs w:val="20"/>
        </w:rPr>
        <w:t xml:space="preserve">, </w:t>
      </w:r>
      <w:proofErr w:type="spellStart"/>
      <w:r w:rsidRPr="00D25ABF">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379 del 1996, punto 5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 xml:space="preserve">, puntualmente richiamato nella sentenza in esame  (punto 4.2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E5BA5">
        <w:rPr>
          <w:rFonts w:ascii="Times New Roman" w:hAnsi="Times New Roman"/>
          <w:sz w:val="20"/>
          <w:szCs w:val="20"/>
        </w:rPr>
        <w:t>).</w:t>
      </w:r>
    </w:p>
  </w:footnote>
  <w:footnote w:id="25">
    <w:p w14:paraId="2ADFFEC1"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in par</w:t>
      </w:r>
      <w:r>
        <w:rPr>
          <w:rFonts w:ascii="Times New Roman" w:hAnsi="Times New Roman"/>
          <w:sz w:val="20"/>
          <w:szCs w:val="20"/>
        </w:rPr>
        <w:t>ticolare la già citata sentenza</w:t>
      </w:r>
      <w:r w:rsidRPr="00D25ABF">
        <w:rPr>
          <w:rFonts w:ascii="Times New Roman" w:hAnsi="Times New Roman"/>
          <w:sz w:val="20"/>
          <w:szCs w:val="20"/>
        </w:rPr>
        <w:t xml:space="preserve"> della Corte costituzionale n. 379 del 1996, la quale rappresenta un punto di riferimento obbligato nella definizione dei rapporti tra Parlamento e magistratura.  </w:t>
      </w:r>
    </w:p>
    <w:p w14:paraId="6E3CFCF7" w14:textId="77777777" w:rsidR="005B65CD" w:rsidRPr="00D25ABF" w:rsidRDefault="005B65CD" w:rsidP="00D25ABF">
      <w:pPr>
        <w:pStyle w:val="Testonotaapidipagina"/>
        <w:ind w:firstLine="709"/>
        <w:jc w:val="both"/>
        <w:rPr>
          <w:rFonts w:ascii="Times New Roman" w:hAnsi="Times New Roman"/>
          <w:sz w:val="20"/>
          <w:szCs w:val="20"/>
        </w:rPr>
      </w:pPr>
      <w:r w:rsidRPr="00D25ABF">
        <w:rPr>
          <w:rFonts w:ascii="Times New Roman" w:hAnsi="Times New Roman"/>
          <w:sz w:val="20"/>
          <w:szCs w:val="20"/>
        </w:rPr>
        <w:t xml:space="preserve">   Essa prendeva spunto, come è noto, da un procedimento penale intentato a carico di deputati i quali erano stati accusati di aver votato al posto di alcuni colleghi assenti, azionando il dispositivo elettronico collocato nel loro seggio. Contro tale procedimento la Camera sollevava un conflitto di attribuzioni, deciso appunto con la sentenza ora richiamata.</w:t>
      </w:r>
    </w:p>
  </w:footnote>
  <w:footnote w:id="26">
    <w:p w14:paraId="34C17B2E"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“Nel sistema costituzionale- ebbe a sottolineare la Corte  nella pronuncia sopra citata –  si delinea in maniera immediata e certa (…) il confine fra l’autonomia del Parlamento e il principio di legalità. </w:t>
      </w:r>
      <w:proofErr w:type="spellStart"/>
      <w:r w:rsidRPr="00D25ABF">
        <w:rPr>
          <w:rFonts w:ascii="Times New Roman" w:hAnsi="Times New Roman"/>
          <w:sz w:val="20"/>
          <w:szCs w:val="20"/>
        </w:rPr>
        <w:t>Allorchè</w:t>
      </w:r>
      <w:proofErr w:type="spellEnd"/>
      <w:r w:rsidRPr="00D25ABF">
        <w:rPr>
          <w:rFonts w:ascii="Times New Roman" w:hAnsi="Times New Roman"/>
          <w:sz w:val="20"/>
          <w:szCs w:val="20"/>
        </w:rPr>
        <w:t xml:space="preserve"> un comportamento di un componente di una Camera sia sussumibile, interamente e senza residui, sotto le norme del diritto parlamentare e si risolva in una violazione di queste, il principio di legalità e i valori ad esso connessi(….) sono destinati a cedere di fronte al principio di autonomia delle Camere e al preminente valore di libertà del Parlamento che quel principio sottende e che rivendica la piena autodeterminazione in ordine all’organizzazione interna e allo svolgimento dei lavori (…..).Se viceversa – concluse la Corte -  un qualche aspetto di tale comportamento esuli dalla capacità  classificatoria del regolamento parlamentare e non sia per intero sussumibile sotto la disciplina di questo(….) deve prevalere la grande regola dello Stato di diritto e il conseguente regime giurisdizionale al quale sono normalmente sottoposti, nel nostro sistema costituzionale, tutti i beni giuridici e tutti i diritti” (Corte costituzionale, sentenza n. 379 del 1996, punto 7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27">
    <w:p w14:paraId="7D9F5977"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w:t>
      </w:r>
      <w:proofErr w:type="spellStart"/>
      <w:r w:rsidRPr="00D25ABF">
        <w:rPr>
          <w:rFonts w:ascii="Times New Roman" w:hAnsi="Times New Roman"/>
          <w:sz w:val="20"/>
          <w:szCs w:val="20"/>
        </w:rPr>
        <w:t>cost</w:t>
      </w:r>
      <w:proofErr w:type="spellEnd"/>
      <w:r>
        <w:rPr>
          <w:rFonts w:ascii="Times New Roman" w:hAnsi="Times New Roman"/>
          <w:sz w:val="20"/>
          <w:szCs w:val="20"/>
        </w:rPr>
        <w:t>.</w:t>
      </w:r>
      <w:r w:rsidRPr="00D25ABF">
        <w:rPr>
          <w:rFonts w:ascii="Times New Roman" w:hAnsi="Times New Roman"/>
          <w:sz w:val="20"/>
          <w:szCs w:val="20"/>
        </w:rPr>
        <w:t xml:space="preserve">, </w:t>
      </w:r>
      <w:proofErr w:type="spellStart"/>
      <w:r w:rsidRPr="00D25ABF">
        <w:rPr>
          <w:rFonts w:ascii="Times New Roman" w:hAnsi="Times New Roman"/>
          <w:sz w:val="20"/>
          <w:szCs w:val="20"/>
        </w:rPr>
        <w:t>sent</w:t>
      </w:r>
      <w:proofErr w:type="spellEnd"/>
      <w:r>
        <w:rPr>
          <w:rFonts w:ascii="Times New Roman" w:hAnsi="Times New Roman"/>
          <w:sz w:val="20"/>
          <w:szCs w:val="20"/>
        </w:rPr>
        <w:t xml:space="preserve">. </w:t>
      </w:r>
      <w:r w:rsidRPr="00D25ABF">
        <w:rPr>
          <w:rFonts w:ascii="Times New Roman" w:hAnsi="Times New Roman"/>
          <w:sz w:val="20"/>
          <w:szCs w:val="20"/>
        </w:rPr>
        <w:t xml:space="preserve">n. 120 del 2014, punti 4.3. e 4.4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28">
    <w:p w14:paraId="65382E8D"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Il caso deciso, appunto, con l’ormai più volte citata sentenza della Corte costituzionale n. 379 del 1996.</w:t>
      </w:r>
    </w:p>
  </w:footnote>
  <w:footnote w:id="29">
    <w:p w14:paraId="375ECF09"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Senza, naturalmente tralasciare il caso riguardante l’irresponsabilità del Capo dello Stato nell’esercizio del  potere  di esternazione, così come risolto dalla Corte costituzionale con sentenza n. 154 del 2004.</w:t>
      </w:r>
    </w:p>
  </w:footnote>
  <w:footnote w:id="30">
    <w:p w14:paraId="4B3950C1"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R. DICKMANN, </w:t>
      </w:r>
      <w:r w:rsidRPr="00D25ABF">
        <w:rPr>
          <w:rFonts w:ascii="Times New Roman" w:hAnsi="Times New Roman"/>
          <w:i/>
          <w:sz w:val="20"/>
          <w:szCs w:val="20"/>
        </w:rPr>
        <w:t>op. cit.</w:t>
      </w:r>
      <w:r w:rsidRPr="00D25ABF">
        <w:rPr>
          <w:rFonts w:ascii="Times New Roman" w:hAnsi="Times New Roman"/>
          <w:sz w:val="20"/>
          <w:szCs w:val="20"/>
        </w:rPr>
        <w:t xml:space="preserve">, 8;  T.F. GIUPPONI, </w:t>
      </w:r>
      <w:r w:rsidRPr="00D25ABF">
        <w:rPr>
          <w:rFonts w:ascii="Times New Roman" w:hAnsi="Times New Roman"/>
          <w:i/>
          <w:sz w:val="20"/>
          <w:szCs w:val="20"/>
        </w:rPr>
        <w:t>op. cit.</w:t>
      </w:r>
      <w:r w:rsidRPr="00D25ABF">
        <w:rPr>
          <w:rFonts w:ascii="Times New Roman" w:hAnsi="Times New Roman"/>
          <w:sz w:val="20"/>
          <w:szCs w:val="20"/>
        </w:rPr>
        <w:t>, 3.</w:t>
      </w:r>
    </w:p>
  </w:footnote>
  <w:footnote w:id="31">
    <w:p w14:paraId="70DBD6B3"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eur</w:t>
      </w:r>
      <w:proofErr w:type="spellEnd"/>
      <w:r>
        <w:rPr>
          <w:rFonts w:ascii="Times New Roman" w:hAnsi="Times New Roman"/>
          <w:sz w:val="20"/>
          <w:szCs w:val="20"/>
        </w:rPr>
        <w:t xml:space="preserve">. dir. </w:t>
      </w:r>
      <w:r w:rsidRPr="00D25ABF">
        <w:rPr>
          <w:rFonts w:ascii="Times New Roman" w:hAnsi="Times New Roman"/>
          <w:sz w:val="20"/>
          <w:szCs w:val="20"/>
        </w:rPr>
        <w:t xml:space="preserve">uomo, </w:t>
      </w:r>
      <w:r>
        <w:rPr>
          <w:rFonts w:ascii="Times New Roman" w:hAnsi="Times New Roman"/>
          <w:sz w:val="20"/>
          <w:szCs w:val="20"/>
        </w:rPr>
        <w:t xml:space="preserve">26 aprile 2009, </w:t>
      </w:r>
      <w:r w:rsidRPr="00DE5BA5">
        <w:rPr>
          <w:rFonts w:ascii="Times New Roman" w:hAnsi="Times New Roman"/>
          <w:i/>
          <w:sz w:val="20"/>
          <w:szCs w:val="20"/>
        </w:rPr>
        <w:t>Savino ed altri c. Italia</w:t>
      </w:r>
      <w:r w:rsidRPr="00D25ABF">
        <w:rPr>
          <w:rFonts w:ascii="Times New Roman" w:hAnsi="Times New Roman"/>
          <w:sz w:val="20"/>
          <w:szCs w:val="20"/>
        </w:rPr>
        <w:t xml:space="preserve">, </w:t>
      </w:r>
      <w:proofErr w:type="spellStart"/>
      <w:r w:rsidRPr="00D25ABF">
        <w:rPr>
          <w:rFonts w:ascii="Times New Roman" w:hAnsi="Times New Roman"/>
          <w:sz w:val="20"/>
          <w:szCs w:val="20"/>
        </w:rPr>
        <w:t>cp</w:t>
      </w:r>
      <w:proofErr w:type="spellEnd"/>
      <w:r w:rsidRPr="00D25ABF">
        <w:rPr>
          <w:rFonts w:ascii="Times New Roman" w:hAnsi="Times New Roman"/>
          <w:sz w:val="20"/>
          <w:szCs w:val="20"/>
        </w:rPr>
        <w:t>. n. 105.</w:t>
      </w:r>
    </w:p>
    <w:p w14:paraId="3CC88205" w14:textId="77777777" w:rsidR="005B65CD" w:rsidRPr="00D25ABF" w:rsidRDefault="005B65CD" w:rsidP="00D25ABF">
      <w:pPr>
        <w:pStyle w:val="Testonotaapidipagina"/>
        <w:ind w:firstLine="709"/>
        <w:jc w:val="both"/>
        <w:rPr>
          <w:rFonts w:ascii="Times New Roman" w:hAnsi="Times New Roman"/>
          <w:sz w:val="20"/>
          <w:szCs w:val="20"/>
        </w:rPr>
      </w:pPr>
      <w:r w:rsidRPr="00D25ABF">
        <w:rPr>
          <w:rFonts w:ascii="Times New Roman" w:hAnsi="Times New Roman"/>
          <w:sz w:val="20"/>
          <w:szCs w:val="20"/>
        </w:rPr>
        <w:t xml:space="preserve">A suo commento v. C. FASONE, </w:t>
      </w:r>
      <w:r w:rsidRPr="00D25ABF">
        <w:rPr>
          <w:rFonts w:ascii="Times New Roman" w:hAnsi="Times New Roman"/>
          <w:i/>
          <w:sz w:val="20"/>
          <w:szCs w:val="20"/>
        </w:rPr>
        <w:t xml:space="preserve">op. cit. </w:t>
      </w:r>
      <w:r w:rsidRPr="00D25ABF">
        <w:rPr>
          <w:rFonts w:ascii="Times New Roman" w:hAnsi="Times New Roman"/>
          <w:sz w:val="20"/>
          <w:szCs w:val="20"/>
        </w:rPr>
        <w:t xml:space="preserve">; B. RANDAZZO, </w:t>
      </w:r>
      <w:r w:rsidRPr="00D25ABF">
        <w:rPr>
          <w:rFonts w:ascii="Times New Roman" w:hAnsi="Times New Roman"/>
          <w:i/>
          <w:sz w:val="20"/>
          <w:szCs w:val="20"/>
        </w:rPr>
        <w:t>L’autodichia della Camera e il diritto al giudice: una condanna a metà,</w:t>
      </w:r>
      <w:r w:rsidRPr="00D25ABF">
        <w:rPr>
          <w:rFonts w:ascii="Times New Roman" w:hAnsi="Times New Roman"/>
          <w:sz w:val="20"/>
          <w:szCs w:val="20"/>
        </w:rPr>
        <w:t xml:space="preserve"> in </w:t>
      </w:r>
      <w:proofErr w:type="spellStart"/>
      <w:r w:rsidRPr="00D25ABF">
        <w:rPr>
          <w:rFonts w:ascii="Times New Roman" w:hAnsi="Times New Roman"/>
          <w:i/>
          <w:sz w:val="20"/>
          <w:szCs w:val="20"/>
        </w:rPr>
        <w:t>Giorn</w:t>
      </w:r>
      <w:proofErr w:type="spellEnd"/>
      <w:r w:rsidRPr="00D25ABF">
        <w:rPr>
          <w:rFonts w:ascii="Times New Roman" w:hAnsi="Times New Roman"/>
          <w:i/>
          <w:sz w:val="20"/>
          <w:szCs w:val="20"/>
        </w:rPr>
        <w:t xml:space="preserve">. dir. </w:t>
      </w:r>
      <w:proofErr w:type="spellStart"/>
      <w:r w:rsidRPr="00D25ABF">
        <w:rPr>
          <w:rFonts w:ascii="Times New Roman" w:hAnsi="Times New Roman"/>
          <w:i/>
          <w:sz w:val="20"/>
          <w:szCs w:val="20"/>
        </w:rPr>
        <w:t>amm</w:t>
      </w:r>
      <w:proofErr w:type="spellEnd"/>
      <w:r w:rsidRPr="00D25ABF">
        <w:rPr>
          <w:rFonts w:ascii="Times New Roman" w:hAnsi="Times New Roman"/>
          <w:i/>
          <w:sz w:val="20"/>
          <w:szCs w:val="20"/>
        </w:rPr>
        <w:t>.</w:t>
      </w:r>
      <w:r w:rsidRPr="00D25ABF">
        <w:rPr>
          <w:rFonts w:ascii="Times New Roman" w:hAnsi="Times New Roman"/>
          <w:sz w:val="20"/>
          <w:szCs w:val="20"/>
        </w:rPr>
        <w:t xml:space="preserve">, </w:t>
      </w:r>
      <w:r>
        <w:rPr>
          <w:rFonts w:ascii="Times New Roman" w:hAnsi="Times New Roman"/>
          <w:sz w:val="20"/>
          <w:szCs w:val="20"/>
        </w:rPr>
        <w:t xml:space="preserve">n. 10/2009, </w:t>
      </w:r>
      <w:r w:rsidRPr="00D25ABF">
        <w:rPr>
          <w:rFonts w:ascii="Times New Roman" w:hAnsi="Times New Roman"/>
          <w:sz w:val="20"/>
          <w:szCs w:val="20"/>
        </w:rPr>
        <w:t>1051 ss.</w:t>
      </w:r>
    </w:p>
  </w:footnote>
  <w:footnote w:id="32">
    <w:p w14:paraId="7330D05B"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w:t>
      </w:r>
      <w:r>
        <w:rPr>
          <w:rFonts w:ascii="Times New Roman" w:hAnsi="Times New Roman"/>
          <w:sz w:val="20"/>
          <w:szCs w:val="20"/>
        </w:rPr>
        <w:t xml:space="preserve">Corte </w:t>
      </w:r>
      <w:proofErr w:type="spellStart"/>
      <w:r>
        <w:rPr>
          <w:rFonts w:ascii="Times New Roman" w:hAnsi="Times New Roman"/>
          <w:sz w:val="20"/>
          <w:szCs w:val="20"/>
        </w:rPr>
        <w:t>eur</w:t>
      </w:r>
      <w:proofErr w:type="spellEnd"/>
      <w:r>
        <w:rPr>
          <w:rFonts w:ascii="Times New Roman" w:hAnsi="Times New Roman"/>
          <w:sz w:val="20"/>
          <w:szCs w:val="20"/>
        </w:rPr>
        <w:t xml:space="preserve">. dir. </w:t>
      </w:r>
      <w:r w:rsidRPr="00D25ABF">
        <w:rPr>
          <w:rFonts w:ascii="Times New Roman" w:hAnsi="Times New Roman"/>
          <w:sz w:val="20"/>
          <w:szCs w:val="20"/>
        </w:rPr>
        <w:t xml:space="preserve">uomo, </w:t>
      </w:r>
      <w:r>
        <w:rPr>
          <w:rFonts w:ascii="Times New Roman" w:hAnsi="Times New Roman"/>
          <w:sz w:val="20"/>
          <w:szCs w:val="20"/>
        </w:rPr>
        <w:t xml:space="preserve">26 aprile 2009, </w:t>
      </w:r>
      <w:r w:rsidRPr="00DE5BA5">
        <w:rPr>
          <w:rFonts w:ascii="Times New Roman" w:hAnsi="Times New Roman"/>
          <w:i/>
          <w:sz w:val="20"/>
          <w:szCs w:val="20"/>
        </w:rPr>
        <w:t>Savino ed altri c. Italia</w:t>
      </w:r>
      <w:r w:rsidRPr="00D25ABF">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cp</w:t>
      </w:r>
      <w:proofErr w:type="spellEnd"/>
      <w:r w:rsidRPr="00D25ABF">
        <w:rPr>
          <w:rFonts w:ascii="Times New Roman" w:hAnsi="Times New Roman"/>
          <w:sz w:val="20"/>
          <w:szCs w:val="20"/>
        </w:rPr>
        <w:t>. n. 73 e 91, ivi richiami alla propria giurisprudenza.</w:t>
      </w:r>
    </w:p>
  </w:footnote>
  <w:footnote w:id="33">
    <w:p w14:paraId="32B62B65"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europea dei diritti dell’uomo, sentenza Savino ed altri c. Italia  del 26 aprile 2009, </w:t>
      </w:r>
      <w:proofErr w:type="spellStart"/>
      <w:r w:rsidRPr="00D25ABF">
        <w:rPr>
          <w:rFonts w:ascii="Times New Roman" w:hAnsi="Times New Roman"/>
          <w:sz w:val="20"/>
          <w:szCs w:val="20"/>
        </w:rPr>
        <w:t>cp</w:t>
      </w:r>
      <w:proofErr w:type="spellEnd"/>
      <w:r w:rsidRPr="00D25ABF">
        <w:rPr>
          <w:rFonts w:ascii="Times New Roman" w:hAnsi="Times New Roman"/>
          <w:sz w:val="20"/>
          <w:szCs w:val="20"/>
        </w:rPr>
        <w:t>. n. 73. Ivi ampi richiami giurisprudenziali.</w:t>
      </w:r>
    </w:p>
  </w:footnote>
  <w:footnote w:id="34">
    <w:p w14:paraId="11AB90BE"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eur</w:t>
      </w:r>
      <w:proofErr w:type="spellEnd"/>
      <w:r>
        <w:rPr>
          <w:rFonts w:ascii="Times New Roman" w:hAnsi="Times New Roman"/>
          <w:sz w:val="20"/>
          <w:szCs w:val="20"/>
        </w:rPr>
        <w:t xml:space="preserve">. dir. </w:t>
      </w:r>
      <w:r w:rsidRPr="00D25ABF">
        <w:rPr>
          <w:rFonts w:ascii="Times New Roman" w:hAnsi="Times New Roman"/>
          <w:sz w:val="20"/>
          <w:szCs w:val="20"/>
        </w:rPr>
        <w:t>uomo,</w:t>
      </w:r>
      <w:r>
        <w:rPr>
          <w:rFonts w:ascii="Times New Roman" w:hAnsi="Times New Roman"/>
          <w:sz w:val="20"/>
          <w:szCs w:val="20"/>
        </w:rPr>
        <w:t xml:space="preserve"> 26 aprile 2009, </w:t>
      </w:r>
      <w:r w:rsidRPr="00DE5BA5">
        <w:rPr>
          <w:rFonts w:ascii="Times New Roman" w:hAnsi="Times New Roman"/>
          <w:i/>
          <w:sz w:val="20"/>
          <w:szCs w:val="20"/>
        </w:rPr>
        <w:t>Savino ed altri c. Italia</w:t>
      </w:r>
      <w:r w:rsidRPr="00D25ABF">
        <w:rPr>
          <w:rFonts w:ascii="Times New Roman" w:hAnsi="Times New Roman"/>
          <w:sz w:val="20"/>
          <w:szCs w:val="20"/>
        </w:rPr>
        <w:t xml:space="preserve">, </w:t>
      </w:r>
      <w:proofErr w:type="spellStart"/>
      <w:r w:rsidRPr="00D25ABF">
        <w:rPr>
          <w:rFonts w:ascii="Times New Roman" w:hAnsi="Times New Roman"/>
          <w:sz w:val="20"/>
          <w:szCs w:val="20"/>
        </w:rPr>
        <w:t>cp</w:t>
      </w:r>
      <w:proofErr w:type="spellEnd"/>
      <w:r w:rsidRPr="00D25ABF">
        <w:rPr>
          <w:rFonts w:ascii="Times New Roman" w:hAnsi="Times New Roman"/>
          <w:sz w:val="20"/>
          <w:szCs w:val="20"/>
        </w:rPr>
        <w:t>. n. 91-93.</w:t>
      </w:r>
    </w:p>
  </w:footnote>
  <w:footnote w:id="35">
    <w:p w14:paraId="7DDC94B3"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N. L</w:t>
      </w:r>
      <w:r w:rsidRPr="002227D1">
        <w:rPr>
          <w:rFonts w:ascii="Times New Roman" w:hAnsi="Times New Roman"/>
          <w:smallCaps/>
          <w:sz w:val="20"/>
          <w:szCs w:val="20"/>
        </w:rPr>
        <w:t xml:space="preserve">upo, </w:t>
      </w:r>
      <w:r w:rsidRPr="00D25ABF">
        <w:rPr>
          <w:rFonts w:ascii="Times New Roman" w:hAnsi="Times New Roman"/>
          <w:i/>
          <w:sz w:val="20"/>
          <w:szCs w:val="20"/>
        </w:rPr>
        <w:t xml:space="preserve">Qualcosa incomincia  a muoversi sul fronte delle modifiche ai regolamenti parlamentari?, </w:t>
      </w:r>
      <w:r w:rsidRPr="00D25ABF">
        <w:rPr>
          <w:rFonts w:ascii="Times New Roman" w:hAnsi="Times New Roman"/>
          <w:sz w:val="20"/>
          <w:szCs w:val="20"/>
        </w:rPr>
        <w:t>in</w:t>
      </w:r>
      <w:r w:rsidRPr="00D25ABF">
        <w:rPr>
          <w:rFonts w:ascii="Times New Roman" w:hAnsi="Times New Roman"/>
          <w:i/>
          <w:sz w:val="20"/>
          <w:szCs w:val="20"/>
        </w:rPr>
        <w:t xml:space="preserve"> www.osservatoriosullefonti.it.; </w:t>
      </w:r>
      <w:r w:rsidRPr="00D25ABF">
        <w:rPr>
          <w:rFonts w:ascii="Times New Roman" w:hAnsi="Times New Roman"/>
          <w:sz w:val="20"/>
          <w:szCs w:val="20"/>
        </w:rPr>
        <w:t>G. M</w:t>
      </w:r>
      <w:r w:rsidRPr="002227D1">
        <w:rPr>
          <w:rFonts w:ascii="Times New Roman" w:hAnsi="Times New Roman"/>
          <w:smallCaps/>
          <w:sz w:val="20"/>
          <w:szCs w:val="20"/>
        </w:rPr>
        <w:t>alinconico,</w:t>
      </w:r>
      <w:r w:rsidRPr="002227D1">
        <w:rPr>
          <w:rFonts w:ascii="Times New Roman" w:hAnsi="Times New Roman"/>
          <w:i/>
          <w:smallCaps/>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10 ss.</w:t>
      </w:r>
    </w:p>
  </w:footnote>
  <w:footnote w:id="36">
    <w:p w14:paraId="12418267"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b/>
          <w:sz w:val="20"/>
          <w:szCs w:val="20"/>
        </w:rPr>
        <w:footnoteRef/>
      </w:r>
      <w:r w:rsidRPr="00D25ABF">
        <w:rPr>
          <w:rFonts w:ascii="Times New Roman" w:hAnsi="Times New Roman"/>
          <w:sz w:val="20"/>
          <w:szCs w:val="20"/>
        </w:rPr>
        <w:t>V. P. B</w:t>
      </w:r>
      <w:r w:rsidRPr="002227D1">
        <w:rPr>
          <w:rFonts w:ascii="Times New Roman" w:hAnsi="Times New Roman"/>
          <w:smallCaps/>
          <w:sz w:val="20"/>
          <w:szCs w:val="20"/>
        </w:rPr>
        <w:t>arile</w:t>
      </w:r>
      <w:r w:rsidRPr="00D25ABF">
        <w:rPr>
          <w:rFonts w:ascii="Times New Roman" w:hAnsi="Times New Roman"/>
          <w:sz w:val="20"/>
          <w:szCs w:val="20"/>
        </w:rPr>
        <w:t xml:space="preserve">, </w:t>
      </w:r>
      <w:r w:rsidRPr="00D25ABF">
        <w:rPr>
          <w:rFonts w:ascii="Times New Roman" w:hAnsi="Times New Roman"/>
          <w:i/>
          <w:sz w:val="20"/>
          <w:szCs w:val="20"/>
        </w:rPr>
        <w:t>La Corte costituzionale organo sovrano: implicazioni pratiche</w:t>
      </w:r>
      <w:r w:rsidRPr="00D25ABF">
        <w:rPr>
          <w:rFonts w:ascii="Times New Roman" w:hAnsi="Times New Roman"/>
          <w:sz w:val="20"/>
          <w:szCs w:val="20"/>
        </w:rPr>
        <w:t xml:space="preserve">, in </w:t>
      </w:r>
      <w:r w:rsidRPr="00D25ABF">
        <w:rPr>
          <w:rFonts w:ascii="Times New Roman" w:hAnsi="Times New Roman"/>
          <w:i/>
          <w:sz w:val="20"/>
          <w:szCs w:val="20"/>
        </w:rPr>
        <w:t>Scritti di diritto costituzionale, Padova, 1967</w:t>
      </w:r>
      <w:r w:rsidRPr="00D25ABF">
        <w:rPr>
          <w:rFonts w:ascii="Times New Roman" w:hAnsi="Times New Roman"/>
          <w:sz w:val="20"/>
          <w:szCs w:val="20"/>
        </w:rPr>
        <w:t>, 241 ss.</w:t>
      </w:r>
      <w:r w:rsidRPr="00D25ABF">
        <w:rPr>
          <w:rFonts w:ascii="Times New Roman" w:hAnsi="Times New Roman"/>
          <w:i/>
          <w:sz w:val="20"/>
          <w:szCs w:val="20"/>
        </w:rPr>
        <w:t xml:space="preserve">; </w:t>
      </w:r>
      <w:r w:rsidRPr="00D25ABF">
        <w:rPr>
          <w:rFonts w:ascii="Times New Roman" w:hAnsi="Times New Roman"/>
          <w:sz w:val="20"/>
          <w:szCs w:val="20"/>
        </w:rPr>
        <w:t>E. C</w:t>
      </w:r>
      <w:r w:rsidRPr="002227D1">
        <w:rPr>
          <w:rFonts w:ascii="Times New Roman" w:hAnsi="Times New Roman"/>
          <w:smallCaps/>
          <w:sz w:val="20"/>
          <w:szCs w:val="20"/>
        </w:rPr>
        <w:t>rosa</w:t>
      </w:r>
      <w:r w:rsidRPr="00D25ABF">
        <w:rPr>
          <w:rFonts w:ascii="Times New Roman" w:hAnsi="Times New Roman"/>
          <w:sz w:val="20"/>
          <w:szCs w:val="20"/>
        </w:rPr>
        <w:t xml:space="preserve">, </w:t>
      </w:r>
      <w:r w:rsidRPr="00D25ABF">
        <w:rPr>
          <w:rFonts w:ascii="Times New Roman" w:hAnsi="Times New Roman"/>
          <w:i/>
          <w:sz w:val="20"/>
          <w:szCs w:val="20"/>
        </w:rPr>
        <w:t>Gli organi costituzionali ed il Presidente della Repubblica nella Costituzione italiana</w:t>
      </w:r>
      <w:r w:rsidRPr="00D25ABF">
        <w:rPr>
          <w:rFonts w:ascii="Times New Roman" w:hAnsi="Times New Roman"/>
          <w:sz w:val="20"/>
          <w:szCs w:val="20"/>
        </w:rPr>
        <w:t xml:space="preserve">, </w:t>
      </w:r>
      <w:r w:rsidRPr="00D25ABF">
        <w:rPr>
          <w:rFonts w:ascii="Times New Roman" w:hAnsi="Times New Roman"/>
          <w:i/>
          <w:sz w:val="20"/>
          <w:szCs w:val="20"/>
        </w:rPr>
        <w:t xml:space="preserve">in </w:t>
      </w:r>
      <w:proofErr w:type="spellStart"/>
      <w:r w:rsidRPr="00D25ABF">
        <w:rPr>
          <w:rFonts w:ascii="Times New Roman" w:hAnsi="Times New Roman"/>
          <w:i/>
          <w:sz w:val="20"/>
          <w:szCs w:val="20"/>
        </w:rPr>
        <w:t>Riv</w:t>
      </w:r>
      <w:proofErr w:type="spellEnd"/>
      <w:r w:rsidRPr="00D25ABF">
        <w:rPr>
          <w:rFonts w:ascii="Times New Roman" w:hAnsi="Times New Roman"/>
          <w:i/>
          <w:sz w:val="20"/>
          <w:szCs w:val="20"/>
        </w:rPr>
        <w:t xml:space="preserve">. trim. dir. </w:t>
      </w:r>
      <w:proofErr w:type="spellStart"/>
      <w:r w:rsidRPr="00D25ABF">
        <w:rPr>
          <w:rFonts w:ascii="Times New Roman" w:hAnsi="Times New Roman"/>
          <w:i/>
          <w:sz w:val="20"/>
          <w:szCs w:val="20"/>
        </w:rPr>
        <w:t>pubbl</w:t>
      </w:r>
      <w:proofErr w:type="spellEnd"/>
      <w:r w:rsidRPr="00D25ABF">
        <w:rPr>
          <w:rFonts w:ascii="Times New Roman" w:hAnsi="Times New Roman"/>
          <w:i/>
          <w:sz w:val="20"/>
          <w:szCs w:val="20"/>
        </w:rPr>
        <w:t>.</w:t>
      </w:r>
      <w:r w:rsidRPr="00D25ABF">
        <w:rPr>
          <w:rFonts w:ascii="Times New Roman" w:hAnsi="Times New Roman"/>
          <w:sz w:val="20"/>
          <w:szCs w:val="20"/>
        </w:rPr>
        <w:t xml:space="preserve">,  1951, 91 ss. ; A.M. </w:t>
      </w:r>
      <w:proofErr w:type="spellStart"/>
      <w:r>
        <w:rPr>
          <w:rFonts w:ascii="Times New Roman" w:hAnsi="Times New Roman"/>
          <w:sz w:val="20"/>
          <w:szCs w:val="20"/>
        </w:rPr>
        <w:t>S</w:t>
      </w:r>
      <w:r w:rsidRPr="002227D1">
        <w:rPr>
          <w:rFonts w:ascii="Times New Roman" w:hAnsi="Times New Roman"/>
          <w:smallCaps/>
          <w:sz w:val="20"/>
          <w:szCs w:val="20"/>
        </w:rPr>
        <w:t>andulli</w:t>
      </w:r>
      <w:proofErr w:type="spellEnd"/>
      <w:r w:rsidRPr="002227D1">
        <w:rPr>
          <w:rFonts w:ascii="Times New Roman" w:hAnsi="Times New Roman"/>
          <w:smallCaps/>
          <w:sz w:val="20"/>
          <w:szCs w:val="20"/>
        </w:rPr>
        <w:t>,</w:t>
      </w:r>
      <w:r w:rsidRPr="00D25ABF">
        <w:rPr>
          <w:rFonts w:ascii="Times New Roman" w:hAnsi="Times New Roman"/>
          <w:sz w:val="20"/>
          <w:szCs w:val="20"/>
        </w:rPr>
        <w:t xml:space="preserve"> </w:t>
      </w:r>
      <w:r w:rsidRPr="00D25ABF">
        <w:rPr>
          <w:rFonts w:ascii="Times New Roman" w:hAnsi="Times New Roman"/>
          <w:i/>
          <w:sz w:val="20"/>
          <w:szCs w:val="20"/>
        </w:rPr>
        <w:t>Sulla posizione della Corte costituzionale nel sistema degli organi supremi dello Stato</w:t>
      </w:r>
      <w:r w:rsidRPr="00D25ABF">
        <w:rPr>
          <w:rFonts w:ascii="Times New Roman" w:hAnsi="Times New Roman"/>
          <w:sz w:val="20"/>
          <w:szCs w:val="20"/>
        </w:rPr>
        <w:t xml:space="preserve">, in </w:t>
      </w:r>
      <w:proofErr w:type="spellStart"/>
      <w:r w:rsidRPr="00D25ABF">
        <w:rPr>
          <w:rFonts w:ascii="Times New Roman" w:hAnsi="Times New Roman"/>
          <w:i/>
          <w:sz w:val="20"/>
          <w:szCs w:val="20"/>
        </w:rPr>
        <w:t>Riv</w:t>
      </w:r>
      <w:proofErr w:type="spellEnd"/>
      <w:r w:rsidRPr="00D25ABF">
        <w:rPr>
          <w:rFonts w:ascii="Times New Roman" w:hAnsi="Times New Roman"/>
          <w:i/>
          <w:sz w:val="20"/>
          <w:szCs w:val="20"/>
        </w:rPr>
        <w:t xml:space="preserve"> .trim. dir.  </w:t>
      </w:r>
      <w:proofErr w:type="spellStart"/>
      <w:r w:rsidRPr="00D25ABF">
        <w:rPr>
          <w:rFonts w:ascii="Times New Roman" w:hAnsi="Times New Roman"/>
          <w:i/>
          <w:sz w:val="20"/>
          <w:szCs w:val="20"/>
        </w:rPr>
        <w:t>pubbl</w:t>
      </w:r>
      <w:proofErr w:type="spellEnd"/>
      <w:r w:rsidRPr="00D25ABF">
        <w:rPr>
          <w:rFonts w:ascii="Times New Roman" w:hAnsi="Times New Roman"/>
          <w:i/>
          <w:sz w:val="20"/>
          <w:szCs w:val="20"/>
        </w:rPr>
        <w:t>.</w:t>
      </w:r>
      <w:r w:rsidRPr="00D25ABF">
        <w:rPr>
          <w:rFonts w:ascii="Times New Roman" w:hAnsi="Times New Roman"/>
          <w:sz w:val="20"/>
          <w:szCs w:val="20"/>
        </w:rPr>
        <w:t xml:space="preserve">, 1960, 721.  </w:t>
      </w:r>
    </w:p>
  </w:footnote>
  <w:footnote w:id="37">
    <w:p w14:paraId="76346821"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E, segnatamente, le prerogative poste a tutela della riservatezza delle comunicazioni presidenziali.</w:t>
      </w:r>
    </w:p>
  </w:footnote>
  <w:footnote w:id="38">
    <w:p w14:paraId="538BBB77"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cost</w:t>
      </w:r>
      <w:proofErr w:type="spellEnd"/>
      <w:r>
        <w:rPr>
          <w:rFonts w:ascii="Times New Roman" w:hAnsi="Times New Roman"/>
          <w:sz w:val="20"/>
          <w:szCs w:val="20"/>
        </w:rPr>
        <w:t xml:space="preserve">., </w:t>
      </w:r>
      <w:proofErr w:type="spellStart"/>
      <w:r>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1 del 2013, punto 9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39">
    <w:p w14:paraId="32A39946"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cost</w:t>
      </w:r>
      <w:proofErr w:type="spellEnd"/>
      <w:r>
        <w:rPr>
          <w:rFonts w:ascii="Times New Roman" w:hAnsi="Times New Roman"/>
          <w:sz w:val="20"/>
          <w:szCs w:val="20"/>
        </w:rPr>
        <w:t xml:space="preserve">., </w:t>
      </w:r>
      <w:proofErr w:type="spellStart"/>
      <w:r>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120 del 2014, punto</w:t>
      </w:r>
      <w:r>
        <w:rPr>
          <w:rFonts w:ascii="Times New Roman" w:hAnsi="Times New Roman"/>
          <w:sz w:val="20"/>
          <w:szCs w:val="20"/>
        </w:rPr>
        <w:t xml:space="preserve"> </w:t>
      </w:r>
      <w:r w:rsidRPr="00D25ABF">
        <w:rPr>
          <w:rFonts w:ascii="Times New Roman" w:hAnsi="Times New Roman"/>
          <w:sz w:val="20"/>
          <w:szCs w:val="20"/>
        </w:rPr>
        <w:t xml:space="preserve">4.5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40">
    <w:p w14:paraId="493BF27D"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Per un’analisi </w:t>
      </w:r>
      <w:r w:rsidRPr="00D25ABF">
        <w:rPr>
          <w:rFonts w:ascii="Times New Roman" w:hAnsi="Times New Roman"/>
          <w:sz w:val="20"/>
          <w:szCs w:val="20"/>
        </w:rPr>
        <w:t>sintetica, ma completa su tale giurisprudenza v. C. P</w:t>
      </w:r>
      <w:r w:rsidRPr="002227D1">
        <w:rPr>
          <w:rFonts w:ascii="Times New Roman" w:hAnsi="Times New Roman"/>
          <w:smallCaps/>
          <w:sz w:val="20"/>
          <w:szCs w:val="20"/>
        </w:rPr>
        <w:t>adula</w:t>
      </w:r>
      <w:r w:rsidRPr="00D25ABF">
        <w:rPr>
          <w:rFonts w:ascii="Times New Roman" w:hAnsi="Times New Roman"/>
          <w:sz w:val="20"/>
          <w:szCs w:val="20"/>
        </w:rPr>
        <w:t xml:space="preserve">, </w:t>
      </w:r>
      <w:r w:rsidRPr="00D25ABF">
        <w:rPr>
          <w:rFonts w:ascii="Times New Roman" w:hAnsi="Times New Roman"/>
          <w:i/>
          <w:sz w:val="20"/>
          <w:szCs w:val="20"/>
        </w:rPr>
        <w:t xml:space="preserve">Insindacabilità </w:t>
      </w:r>
      <w:r w:rsidRPr="00D25ABF">
        <w:rPr>
          <w:rFonts w:ascii="Times New Roman" w:hAnsi="Times New Roman"/>
          <w:sz w:val="20"/>
          <w:szCs w:val="20"/>
        </w:rPr>
        <w:t>parlamentare</w:t>
      </w:r>
      <w:r w:rsidRPr="00D25ABF">
        <w:rPr>
          <w:rFonts w:ascii="Times New Roman" w:hAnsi="Times New Roman"/>
          <w:i/>
          <w:sz w:val="20"/>
          <w:szCs w:val="20"/>
        </w:rPr>
        <w:t xml:space="preserve"> e ricorsi alla Corte europea senza previo esaurimento dei rimedi interni, </w:t>
      </w:r>
      <w:r w:rsidRPr="00D25ABF">
        <w:rPr>
          <w:rFonts w:ascii="Times New Roman" w:hAnsi="Times New Roman"/>
          <w:sz w:val="20"/>
          <w:szCs w:val="20"/>
        </w:rPr>
        <w:t xml:space="preserve">in </w:t>
      </w:r>
      <w:r>
        <w:rPr>
          <w:rFonts w:ascii="Times New Roman" w:hAnsi="Times New Roman"/>
          <w:sz w:val="20"/>
          <w:szCs w:val="20"/>
        </w:rPr>
        <w:t xml:space="preserve">www.consultaonline.it </w:t>
      </w:r>
    </w:p>
  </w:footnote>
  <w:footnote w:id="41">
    <w:p w14:paraId="1BD27A02"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M. M</w:t>
      </w:r>
      <w:r w:rsidRPr="002227D1">
        <w:rPr>
          <w:rFonts w:ascii="Times New Roman" w:hAnsi="Times New Roman"/>
          <w:smallCaps/>
          <w:sz w:val="20"/>
          <w:szCs w:val="20"/>
        </w:rPr>
        <w:t xml:space="preserve">anetti, </w:t>
      </w:r>
      <w:r w:rsidRPr="00D25ABF">
        <w:rPr>
          <w:rFonts w:ascii="Times New Roman" w:hAnsi="Times New Roman"/>
          <w:i/>
          <w:sz w:val="20"/>
          <w:szCs w:val="20"/>
        </w:rPr>
        <w:t>op. cit.</w:t>
      </w:r>
      <w:r w:rsidRPr="00D25ABF">
        <w:rPr>
          <w:rFonts w:ascii="Times New Roman" w:hAnsi="Times New Roman"/>
          <w:sz w:val="20"/>
          <w:szCs w:val="20"/>
        </w:rPr>
        <w:t xml:space="preserve"> , 1.</w:t>
      </w:r>
    </w:p>
  </w:footnote>
  <w:footnote w:id="42">
    <w:p w14:paraId="749F54F9"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Corte costituzionale, sentenza n. 120 del 2014, punto 4.4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D25ABF">
        <w:rPr>
          <w:rFonts w:ascii="Times New Roman" w:hAnsi="Times New Roman"/>
          <w:sz w:val="20"/>
          <w:szCs w:val="20"/>
        </w:rPr>
        <w:t>.</w:t>
      </w:r>
    </w:p>
  </w:footnote>
  <w:footnote w:id="43">
    <w:p w14:paraId="1F8BC1C8"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Sui possibili scenari legati all’attivazione del conflitto di attribuzioni di fronte alla Corte costituzionale, v. R. </w:t>
      </w:r>
      <w:proofErr w:type="spellStart"/>
      <w:r w:rsidRPr="00D25ABF">
        <w:rPr>
          <w:rFonts w:ascii="Times New Roman" w:hAnsi="Times New Roman"/>
          <w:sz w:val="20"/>
          <w:szCs w:val="20"/>
        </w:rPr>
        <w:t>L</w:t>
      </w:r>
      <w:r>
        <w:rPr>
          <w:rFonts w:ascii="Times New Roman" w:hAnsi="Times New Roman"/>
          <w:smallCaps/>
          <w:sz w:val="20"/>
          <w:szCs w:val="20"/>
        </w:rPr>
        <w:t>ugorà</w:t>
      </w:r>
      <w:proofErr w:type="spellEnd"/>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xml:space="preserve">  6 ss.</w:t>
      </w:r>
    </w:p>
  </w:footnote>
  <w:footnote w:id="44">
    <w:p w14:paraId="4F95C9BB"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G. </w:t>
      </w:r>
      <w:proofErr w:type="spellStart"/>
      <w:r w:rsidRPr="00D25ABF">
        <w:rPr>
          <w:rFonts w:ascii="Times New Roman" w:hAnsi="Times New Roman"/>
          <w:sz w:val="20"/>
          <w:szCs w:val="20"/>
        </w:rPr>
        <w:t>B</w:t>
      </w:r>
      <w:r w:rsidRPr="002227D1">
        <w:rPr>
          <w:rFonts w:ascii="Times New Roman" w:hAnsi="Times New Roman"/>
          <w:smallCaps/>
          <w:sz w:val="20"/>
          <w:szCs w:val="20"/>
        </w:rPr>
        <w:t>uonomo</w:t>
      </w:r>
      <w:proofErr w:type="spellEnd"/>
      <w:r w:rsidRPr="00D25ABF">
        <w:rPr>
          <w:rFonts w:ascii="Times New Roman" w:hAnsi="Times New Roman"/>
          <w:sz w:val="20"/>
          <w:szCs w:val="20"/>
        </w:rPr>
        <w:t>, op. cit., 1 ss.</w:t>
      </w:r>
    </w:p>
  </w:footnote>
  <w:footnote w:id="45">
    <w:p w14:paraId="4068EDFD"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le ampie relazioni di  S. </w:t>
      </w:r>
      <w:proofErr w:type="spellStart"/>
      <w:r w:rsidRPr="00D25ABF">
        <w:rPr>
          <w:rFonts w:ascii="Times New Roman" w:hAnsi="Times New Roman"/>
          <w:sz w:val="20"/>
          <w:szCs w:val="20"/>
        </w:rPr>
        <w:t>B</w:t>
      </w:r>
      <w:r w:rsidRPr="008D7381">
        <w:rPr>
          <w:rFonts w:ascii="Times New Roman" w:hAnsi="Times New Roman"/>
          <w:smallCaps/>
          <w:sz w:val="20"/>
          <w:szCs w:val="20"/>
        </w:rPr>
        <w:t>artole</w:t>
      </w:r>
      <w:proofErr w:type="spellEnd"/>
      <w:r>
        <w:rPr>
          <w:rFonts w:ascii="Times New Roman" w:hAnsi="Times New Roman"/>
          <w:sz w:val="20"/>
          <w:szCs w:val="20"/>
        </w:rPr>
        <w:t xml:space="preserve">, </w:t>
      </w:r>
      <w:r w:rsidRPr="00D25ABF">
        <w:rPr>
          <w:rFonts w:ascii="Times New Roman" w:hAnsi="Times New Roman"/>
          <w:i/>
          <w:sz w:val="20"/>
          <w:szCs w:val="20"/>
        </w:rPr>
        <w:t>Immunità e giurisdizione nei conflitti costituzionali</w:t>
      </w:r>
      <w:r w:rsidRPr="00D25ABF">
        <w:rPr>
          <w:rFonts w:ascii="Times New Roman" w:hAnsi="Times New Roman"/>
          <w:sz w:val="20"/>
          <w:szCs w:val="20"/>
        </w:rPr>
        <w:t>, A. P</w:t>
      </w:r>
      <w:r w:rsidRPr="008D7381">
        <w:rPr>
          <w:rFonts w:ascii="Times New Roman" w:hAnsi="Times New Roman"/>
          <w:smallCaps/>
          <w:sz w:val="20"/>
          <w:szCs w:val="20"/>
        </w:rPr>
        <w:t>ace</w:t>
      </w:r>
      <w:r>
        <w:rPr>
          <w:rFonts w:ascii="Times New Roman" w:hAnsi="Times New Roman"/>
          <w:sz w:val="20"/>
          <w:szCs w:val="20"/>
        </w:rPr>
        <w:t xml:space="preserve"> </w:t>
      </w:r>
      <w:r w:rsidRPr="00D25ABF">
        <w:rPr>
          <w:rFonts w:ascii="Times New Roman" w:hAnsi="Times New Roman"/>
          <w:i/>
          <w:sz w:val="20"/>
          <w:szCs w:val="20"/>
        </w:rPr>
        <w:t>Giurisdizione ed insindacabili</w:t>
      </w:r>
      <w:r>
        <w:rPr>
          <w:rFonts w:ascii="Times New Roman" w:hAnsi="Times New Roman"/>
          <w:i/>
          <w:sz w:val="20"/>
          <w:szCs w:val="20"/>
        </w:rPr>
        <w:t>tà nei conflitti costituzionali</w:t>
      </w:r>
      <w:r w:rsidRPr="008D7381">
        <w:rPr>
          <w:rFonts w:ascii="Times New Roman" w:hAnsi="Times New Roman"/>
          <w:sz w:val="20"/>
          <w:szCs w:val="20"/>
        </w:rPr>
        <w:t>,</w:t>
      </w:r>
      <w:r w:rsidRPr="00D25ABF">
        <w:rPr>
          <w:rFonts w:ascii="Times New Roman" w:hAnsi="Times New Roman"/>
          <w:i/>
          <w:sz w:val="20"/>
          <w:szCs w:val="20"/>
        </w:rPr>
        <w:t xml:space="preserve">  </w:t>
      </w:r>
      <w:r w:rsidRPr="00D25ABF">
        <w:rPr>
          <w:rFonts w:ascii="Times New Roman" w:hAnsi="Times New Roman"/>
          <w:sz w:val="20"/>
          <w:szCs w:val="20"/>
        </w:rPr>
        <w:t>F. S</w:t>
      </w:r>
      <w:r w:rsidRPr="008D7381">
        <w:rPr>
          <w:rFonts w:ascii="Times New Roman" w:hAnsi="Times New Roman"/>
          <w:smallCaps/>
          <w:sz w:val="20"/>
          <w:szCs w:val="20"/>
        </w:rPr>
        <w:t>orrentino</w:t>
      </w:r>
      <w:r w:rsidRPr="008D7381">
        <w:rPr>
          <w:rFonts w:ascii="Times New Roman" w:hAnsi="Times New Roman"/>
          <w:sz w:val="20"/>
          <w:szCs w:val="20"/>
        </w:rPr>
        <w:t>,</w:t>
      </w:r>
      <w:r>
        <w:rPr>
          <w:rFonts w:ascii="Times New Roman" w:hAnsi="Times New Roman"/>
          <w:i/>
          <w:sz w:val="20"/>
          <w:szCs w:val="20"/>
        </w:rPr>
        <w:t xml:space="preserve"> </w:t>
      </w:r>
      <w:r w:rsidRPr="00D25ABF">
        <w:rPr>
          <w:rFonts w:ascii="Times New Roman" w:hAnsi="Times New Roman"/>
          <w:i/>
          <w:sz w:val="20"/>
          <w:szCs w:val="20"/>
        </w:rPr>
        <w:t>Immunità e giurisdizione nei conflitti costituzionali</w:t>
      </w:r>
      <w:r w:rsidRPr="00D25ABF">
        <w:rPr>
          <w:rFonts w:ascii="Times New Roman" w:hAnsi="Times New Roman"/>
          <w:sz w:val="20"/>
          <w:szCs w:val="20"/>
        </w:rPr>
        <w:t xml:space="preserve">, in </w:t>
      </w:r>
      <w:r>
        <w:rPr>
          <w:rFonts w:ascii="Times New Roman" w:hAnsi="Times New Roman"/>
          <w:sz w:val="20"/>
          <w:szCs w:val="20"/>
        </w:rPr>
        <w:t xml:space="preserve">AA.VV., </w:t>
      </w:r>
      <w:r w:rsidRPr="00D25ABF">
        <w:rPr>
          <w:rFonts w:ascii="Times New Roman" w:hAnsi="Times New Roman"/>
          <w:i/>
          <w:sz w:val="20"/>
          <w:szCs w:val="20"/>
        </w:rPr>
        <w:t xml:space="preserve">Immunità e giurisdizione nei conflitti costituzionali, </w:t>
      </w:r>
      <w:r w:rsidRPr="00D25ABF">
        <w:rPr>
          <w:rFonts w:ascii="Times New Roman" w:hAnsi="Times New Roman"/>
          <w:sz w:val="20"/>
          <w:szCs w:val="20"/>
        </w:rPr>
        <w:t>Milano, 2001.</w:t>
      </w:r>
    </w:p>
  </w:footnote>
  <w:footnote w:id="46">
    <w:p w14:paraId="147EE1B3"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Per questo, se si vuole, M. C. G</w:t>
      </w:r>
      <w:r w:rsidRPr="008D7381">
        <w:rPr>
          <w:rFonts w:ascii="Times New Roman" w:hAnsi="Times New Roman"/>
          <w:smallCaps/>
          <w:sz w:val="20"/>
          <w:szCs w:val="20"/>
        </w:rPr>
        <w:t>risolia</w:t>
      </w:r>
      <w:r w:rsidRPr="00D25ABF">
        <w:rPr>
          <w:rFonts w:ascii="Times New Roman" w:hAnsi="Times New Roman"/>
          <w:sz w:val="20"/>
          <w:szCs w:val="20"/>
        </w:rPr>
        <w:t xml:space="preserve">, </w:t>
      </w:r>
      <w:r w:rsidRPr="00D25ABF">
        <w:rPr>
          <w:rFonts w:ascii="Times New Roman" w:hAnsi="Times New Roman"/>
          <w:i/>
          <w:sz w:val="20"/>
          <w:szCs w:val="20"/>
        </w:rPr>
        <w:t xml:space="preserve">Tutela  delle posizioni giuridiche soggettive ed esercizio delle funzioni parlamentari, </w:t>
      </w:r>
      <w:r w:rsidRPr="00D25ABF">
        <w:rPr>
          <w:rFonts w:ascii="Times New Roman" w:hAnsi="Times New Roman"/>
          <w:sz w:val="20"/>
          <w:szCs w:val="20"/>
        </w:rPr>
        <w:t>in</w:t>
      </w:r>
      <w:r>
        <w:rPr>
          <w:rFonts w:ascii="Times New Roman" w:hAnsi="Times New Roman"/>
          <w:sz w:val="20"/>
          <w:szCs w:val="20"/>
        </w:rPr>
        <w:t xml:space="preserve"> </w:t>
      </w:r>
      <w:r w:rsidRPr="00D25ABF">
        <w:rPr>
          <w:rFonts w:ascii="Times New Roman" w:hAnsi="Times New Roman"/>
          <w:sz w:val="20"/>
          <w:szCs w:val="20"/>
        </w:rPr>
        <w:t xml:space="preserve">AA.VV., </w:t>
      </w:r>
      <w:r w:rsidRPr="00D25ABF">
        <w:rPr>
          <w:rFonts w:ascii="Times New Roman" w:hAnsi="Times New Roman"/>
          <w:i/>
          <w:sz w:val="20"/>
          <w:szCs w:val="20"/>
        </w:rPr>
        <w:t xml:space="preserve">Diritti nuove tecnologie trasformazioni sociali. Scritti in memoria di Paolo Barile, </w:t>
      </w:r>
      <w:r w:rsidRPr="00D25ABF">
        <w:rPr>
          <w:rFonts w:ascii="Times New Roman" w:hAnsi="Times New Roman"/>
          <w:sz w:val="20"/>
          <w:szCs w:val="20"/>
        </w:rPr>
        <w:t>Padova, 2003, 416 ss., i</w:t>
      </w:r>
      <w:r w:rsidRPr="00D25ABF">
        <w:rPr>
          <w:rFonts w:ascii="Times New Roman" w:hAnsi="Times New Roman"/>
          <w:i/>
          <w:sz w:val="20"/>
          <w:szCs w:val="20"/>
        </w:rPr>
        <w:t xml:space="preserve">vi </w:t>
      </w:r>
      <w:r w:rsidRPr="00D25ABF">
        <w:rPr>
          <w:rFonts w:ascii="Times New Roman" w:hAnsi="Times New Roman"/>
          <w:sz w:val="20"/>
          <w:szCs w:val="20"/>
        </w:rPr>
        <w:t xml:space="preserve">altri richiami bibliografici.    </w:t>
      </w:r>
    </w:p>
  </w:footnote>
  <w:footnote w:id="47">
    <w:p w14:paraId="62A53AE2"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Lo ricorda da ultimo  anche M. M</w:t>
      </w:r>
      <w:r w:rsidRPr="008D7381">
        <w:rPr>
          <w:rFonts w:ascii="Times New Roman" w:hAnsi="Times New Roman"/>
          <w:smallCaps/>
          <w:sz w:val="20"/>
          <w:szCs w:val="20"/>
        </w:rPr>
        <w:t>anetti</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xml:space="preserve"> 5.</w:t>
      </w:r>
    </w:p>
  </w:footnote>
  <w:footnote w:id="48">
    <w:p w14:paraId="77D0EC68"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Si è così sottolineato come tale strumento, proprio in quanto condizionato all’accoglimento del conflitto, abbia perso di molto il suo rilievo originario (v. E. M</w:t>
      </w:r>
      <w:r w:rsidRPr="008D7381">
        <w:rPr>
          <w:rFonts w:ascii="Times New Roman" w:hAnsi="Times New Roman"/>
          <w:smallCaps/>
          <w:sz w:val="20"/>
          <w:szCs w:val="20"/>
        </w:rPr>
        <w:t>alfatti</w:t>
      </w:r>
      <w:r w:rsidRPr="00D25ABF">
        <w:rPr>
          <w:rFonts w:ascii="Times New Roman" w:hAnsi="Times New Roman"/>
          <w:sz w:val="20"/>
          <w:szCs w:val="20"/>
        </w:rPr>
        <w:t xml:space="preserve">, </w:t>
      </w:r>
      <w:r w:rsidRPr="00D25ABF">
        <w:rPr>
          <w:rFonts w:ascii="Times New Roman" w:hAnsi="Times New Roman"/>
          <w:i/>
          <w:sz w:val="20"/>
          <w:szCs w:val="20"/>
        </w:rPr>
        <w:t xml:space="preserve">Il conflitto di attribuzioni fra poteri dello Stato, </w:t>
      </w:r>
      <w:r w:rsidRPr="008D7381">
        <w:rPr>
          <w:rFonts w:ascii="Times New Roman" w:hAnsi="Times New Roman"/>
          <w:sz w:val="20"/>
          <w:szCs w:val="20"/>
        </w:rPr>
        <w:t>in AA.VV.,</w:t>
      </w:r>
      <w:r w:rsidRPr="00D25ABF">
        <w:rPr>
          <w:rFonts w:ascii="Times New Roman" w:hAnsi="Times New Roman"/>
          <w:i/>
          <w:sz w:val="20"/>
          <w:szCs w:val="20"/>
        </w:rPr>
        <w:t xml:space="preserve"> Aggiornamenti in tema di processo costituzionale (2008-2010), </w:t>
      </w:r>
      <w:r w:rsidRPr="00D25ABF">
        <w:rPr>
          <w:rFonts w:ascii="Times New Roman" w:hAnsi="Times New Roman"/>
          <w:sz w:val="20"/>
          <w:szCs w:val="20"/>
        </w:rPr>
        <w:t>a cura di R. Romboli, Torino, 2011, 286 e s.</w:t>
      </w:r>
    </w:p>
  </w:footnote>
  <w:footnote w:id="49">
    <w:p w14:paraId="250A38BC"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Per una considerazione generale del problema e della giurisprudenza sviluppatasi in tema di intervento dei terzi, v. in particolare, R. R</w:t>
      </w:r>
      <w:r w:rsidRPr="008D7381">
        <w:rPr>
          <w:rFonts w:ascii="Times New Roman" w:hAnsi="Times New Roman"/>
          <w:smallCaps/>
          <w:sz w:val="20"/>
          <w:szCs w:val="20"/>
        </w:rPr>
        <w:t>omboli</w:t>
      </w:r>
      <w:r w:rsidRPr="00D25ABF">
        <w:rPr>
          <w:rFonts w:ascii="Times New Roman" w:hAnsi="Times New Roman"/>
          <w:sz w:val="20"/>
          <w:szCs w:val="20"/>
        </w:rPr>
        <w:t xml:space="preserve">, </w:t>
      </w:r>
      <w:r w:rsidRPr="00D25ABF">
        <w:rPr>
          <w:rFonts w:ascii="Times New Roman" w:hAnsi="Times New Roman"/>
          <w:i/>
          <w:sz w:val="20"/>
          <w:szCs w:val="20"/>
        </w:rPr>
        <w:t>Il giudizio costituzionale incidentale come processo senza “parti”</w:t>
      </w:r>
      <w:r w:rsidRPr="00D25ABF">
        <w:rPr>
          <w:rFonts w:ascii="Times New Roman" w:hAnsi="Times New Roman"/>
          <w:sz w:val="20"/>
          <w:szCs w:val="20"/>
        </w:rPr>
        <w:t>, Milano, 1985; G. D’O</w:t>
      </w:r>
      <w:r w:rsidRPr="008D7381">
        <w:rPr>
          <w:rFonts w:ascii="Times New Roman" w:hAnsi="Times New Roman"/>
          <w:smallCaps/>
          <w:sz w:val="20"/>
          <w:szCs w:val="20"/>
        </w:rPr>
        <w:t>razio</w:t>
      </w:r>
      <w:r w:rsidRPr="00D25ABF">
        <w:rPr>
          <w:rFonts w:ascii="Times New Roman" w:hAnsi="Times New Roman"/>
          <w:sz w:val="20"/>
          <w:szCs w:val="20"/>
        </w:rPr>
        <w:t xml:space="preserve">, </w:t>
      </w:r>
      <w:r w:rsidRPr="00D25ABF">
        <w:rPr>
          <w:rFonts w:ascii="Times New Roman" w:hAnsi="Times New Roman"/>
          <w:i/>
          <w:sz w:val="20"/>
          <w:szCs w:val="20"/>
        </w:rPr>
        <w:t xml:space="preserve">Soggetto privato e processo costituzionale italiano, </w:t>
      </w:r>
      <w:r w:rsidRPr="00D25ABF">
        <w:rPr>
          <w:rFonts w:ascii="Times New Roman" w:hAnsi="Times New Roman"/>
          <w:sz w:val="20"/>
          <w:szCs w:val="20"/>
        </w:rPr>
        <w:t>Torino, 1992; M. D’A</w:t>
      </w:r>
      <w:r w:rsidRPr="008D7381">
        <w:rPr>
          <w:rFonts w:ascii="Times New Roman" w:hAnsi="Times New Roman"/>
          <w:smallCaps/>
          <w:sz w:val="20"/>
          <w:szCs w:val="20"/>
        </w:rPr>
        <w:t>mico</w:t>
      </w:r>
      <w:r w:rsidRPr="00D25ABF">
        <w:rPr>
          <w:rFonts w:ascii="Times New Roman" w:hAnsi="Times New Roman"/>
          <w:sz w:val="20"/>
          <w:szCs w:val="20"/>
        </w:rPr>
        <w:t xml:space="preserve">, </w:t>
      </w:r>
      <w:r w:rsidRPr="00D25ABF">
        <w:rPr>
          <w:rFonts w:ascii="Times New Roman" w:hAnsi="Times New Roman"/>
          <w:i/>
          <w:sz w:val="20"/>
          <w:szCs w:val="20"/>
        </w:rPr>
        <w:t xml:space="preserve">Parti e processo nella giustizia costituzionale, </w:t>
      </w:r>
      <w:r w:rsidRPr="00D25ABF">
        <w:rPr>
          <w:rFonts w:ascii="Times New Roman" w:hAnsi="Times New Roman"/>
          <w:sz w:val="20"/>
          <w:szCs w:val="20"/>
        </w:rPr>
        <w:t xml:space="preserve">Torino, 1991;ID, </w:t>
      </w:r>
      <w:r w:rsidRPr="00D25ABF">
        <w:rPr>
          <w:rFonts w:ascii="Times New Roman" w:hAnsi="Times New Roman"/>
          <w:i/>
          <w:sz w:val="20"/>
          <w:szCs w:val="20"/>
        </w:rPr>
        <w:t>L’intervento nel giudizio per conflitto di attribuzioni,</w:t>
      </w:r>
      <w:r w:rsidRPr="00D25ABF">
        <w:rPr>
          <w:rFonts w:ascii="Times New Roman" w:hAnsi="Times New Roman"/>
          <w:sz w:val="20"/>
          <w:szCs w:val="20"/>
        </w:rPr>
        <w:t xml:space="preserve"> in </w:t>
      </w:r>
      <w:r w:rsidRPr="00D25ABF">
        <w:rPr>
          <w:rFonts w:ascii="Times New Roman" w:hAnsi="Times New Roman"/>
          <w:i/>
          <w:sz w:val="20"/>
          <w:szCs w:val="20"/>
        </w:rPr>
        <w:t xml:space="preserve">Giur. </w:t>
      </w:r>
      <w:proofErr w:type="spellStart"/>
      <w:r w:rsidRPr="00D25ABF">
        <w:rPr>
          <w:rFonts w:ascii="Times New Roman" w:hAnsi="Times New Roman"/>
          <w:i/>
          <w:sz w:val="20"/>
          <w:szCs w:val="20"/>
        </w:rPr>
        <w:t>cost</w:t>
      </w:r>
      <w:proofErr w:type="spellEnd"/>
      <w:r w:rsidRPr="00D25ABF">
        <w:rPr>
          <w:rFonts w:ascii="Times New Roman" w:hAnsi="Times New Roman"/>
          <w:sz w:val="20"/>
          <w:szCs w:val="20"/>
        </w:rPr>
        <w:t>., 1988, 2329 ss.; M. C</w:t>
      </w:r>
      <w:r w:rsidRPr="009614F0">
        <w:rPr>
          <w:rFonts w:ascii="Times New Roman" w:hAnsi="Times New Roman"/>
          <w:smallCaps/>
          <w:sz w:val="20"/>
          <w:szCs w:val="20"/>
        </w:rPr>
        <w:t>ecchetti</w:t>
      </w:r>
      <w:r w:rsidRPr="00D25ABF">
        <w:rPr>
          <w:rFonts w:ascii="Times New Roman" w:hAnsi="Times New Roman"/>
          <w:sz w:val="20"/>
          <w:szCs w:val="20"/>
        </w:rPr>
        <w:t xml:space="preserve">, </w:t>
      </w:r>
      <w:r w:rsidRPr="00D25ABF">
        <w:rPr>
          <w:rFonts w:ascii="Times New Roman" w:hAnsi="Times New Roman"/>
          <w:i/>
          <w:sz w:val="20"/>
          <w:szCs w:val="20"/>
        </w:rPr>
        <w:t>Problemi dell’accesso al giudizio sui conflitti di attribuzione fra poteri dello Stato</w:t>
      </w:r>
      <w:r w:rsidRPr="00D25ABF">
        <w:rPr>
          <w:rFonts w:ascii="Times New Roman" w:hAnsi="Times New Roman"/>
          <w:sz w:val="20"/>
          <w:szCs w:val="20"/>
        </w:rPr>
        <w:t xml:space="preserve">, in AA.VV., </w:t>
      </w:r>
      <w:r w:rsidRPr="00D25ABF">
        <w:rPr>
          <w:rFonts w:ascii="Times New Roman" w:hAnsi="Times New Roman"/>
          <w:i/>
          <w:sz w:val="20"/>
          <w:szCs w:val="20"/>
        </w:rPr>
        <w:t>Prospettive di accesso alla giustizia costituzionale,</w:t>
      </w:r>
      <w:r w:rsidRPr="00D25ABF">
        <w:rPr>
          <w:rFonts w:ascii="Times New Roman" w:hAnsi="Times New Roman"/>
          <w:sz w:val="20"/>
          <w:szCs w:val="20"/>
        </w:rPr>
        <w:t xml:space="preserve"> a cura di A. </w:t>
      </w:r>
      <w:proofErr w:type="spellStart"/>
      <w:r>
        <w:rPr>
          <w:rFonts w:ascii="Times New Roman" w:hAnsi="Times New Roman"/>
          <w:sz w:val="20"/>
          <w:szCs w:val="20"/>
        </w:rPr>
        <w:t>Anzon</w:t>
      </w:r>
      <w:proofErr w:type="spellEnd"/>
      <w:r>
        <w:rPr>
          <w:rFonts w:ascii="Times New Roman" w:hAnsi="Times New Roman"/>
          <w:sz w:val="20"/>
          <w:szCs w:val="20"/>
        </w:rPr>
        <w:t>, P. Caretti, S. G</w:t>
      </w:r>
      <w:r w:rsidRPr="00D25ABF">
        <w:rPr>
          <w:rFonts w:ascii="Times New Roman" w:hAnsi="Times New Roman"/>
          <w:sz w:val="20"/>
          <w:szCs w:val="20"/>
        </w:rPr>
        <w:t>rassi, Torino, 2000, 339 ss.</w:t>
      </w:r>
    </w:p>
  </w:footnote>
  <w:footnote w:id="50">
    <w:p w14:paraId="142F4DF4"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Sul punto, proprio in riferimento alla giurisprudenza costituzionale ex art. 68, primo comma, della Costituzione, v. ancora, se si vuole,  M. C. G</w:t>
      </w:r>
      <w:r w:rsidRPr="008D7381">
        <w:rPr>
          <w:rFonts w:ascii="Times New Roman" w:hAnsi="Times New Roman"/>
          <w:smallCaps/>
          <w:sz w:val="20"/>
          <w:szCs w:val="20"/>
        </w:rPr>
        <w:t>risolia</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443 ss., ivi altri richiami bibliografici.</w:t>
      </w:r>
    </w:p>
  </w:footnote>
  <w:footnote w:id="51">
    <w:p w14:paraId="75CE5251"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cost</w:t>
      </w:r>
      <w:proofErr w:type="spellEnd"/>
      <w:r>
        <w:rPr>
          <w:rFonts w:ascii="Times New Roman" w:hAnsi="Times New Roman"/>
          <w:sz w:val="20"/>
          <w:szCs w:val="20"/>
        </w:rPr>
        <w:t xml:space="preserve">., </w:t>
      </w:r>
      <w:proofErr w:type="spellStart"/>
      <w:r w:rsidRPr="00D25ABF">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76 del 2001.</w:t>
      </w:r>
    </w:p>
  </w:footnote>
  <w:footnote w:id="52">
    <w:p w14:paraId="0738F4FA"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Corte </w:t>
      </w:r>
      <w:proofErr w:type="spellStart"/>
      <w:r>
        <w:rPr>
          <w:rFonts w:ascii="Times New Roman" w:hAnsi="Times New Roman"/>
          <w:sz w:val="20"/>
          <w:szCs w:val="20"/>
        </w:rPr>
        <w:t>cost</w:t>
      </w:r>
      <w:proofErr w:type="spellEnd"/>
      <w:r>
        <w:rPr>
          <w:rFonts w:ascii="Times New Roman" w:hAnsi="Times New Roman"/>
          <w:sz w:val="20"/>
          <w:szCs w:val="20"/>
        </w:rPr>
        <w:t xml:space="preserve">., </w:t>
      </w:r>
      <w:proofErr w:type="spellStart"/>
      <w:r>
        <w:rPr>
          <w:rFonts w:ascii="Times New Roman" w:hAnsi="Times New Roman"/>
          <w:sz w:val="20"/>
          <w:szCs w:val="20"/>
        </w:rPr>
        <w:t>sent</w:t>
      </w:r>
      <w:proofErr w:type="spellEnd"/>
      <w:r>
        <w:rPr>
          <w:rFonts w:ascii="Times New Roman" w:hAnsi="Times New Roman"/>
          <w:sz w:val="20"/>
          <w:szCs w:val="20"/>
        </w:rPr>
        <w:t>.</w:t>
      </w:r>
      <w:r w:rsidRPr="00D25ABF">
        <w:rPr>
          <w:rFonts w:ascii="Times New Roman" w:hAnsi="Times New Roman"/>
          <w:sz w:val="20"/>
          <w:szCs w:val="20"/>
        </w:rPr>
        <w:t xml:space="preserve"> n. 76 del 2001, punto 1 del </w:t>
      </w:r>
      <w:proofErr w:type="spellStart"/>
      <w:r>
        <w:rPr>
          <w:rFonts w:ascii="Times New Roman" w:hAnsi="Times New Roman"/>
          <w:i/>
          <w:sz w:val="20"/>
          <w:szCs w:val="20"/>
        </w:rPr>
        <w:t>cons</w:t>
      </w:r>
      <w:proofErr w:type="spellEnd"/>
      <w:r>
        <w:rPr>
          <w:rFonts w:ascii="Times New Roman" w:hAnsi="Times New Roman"/>
          <w:i/>
          <w:sz w:val="20"/>
          <w:szCs w:val="20"/>
        </w:rPr>
        <w:t>. in dir</w:t>
      </w:r>
      <w:r w:rsidRPr="009614F0">
        <w:rPr>
          <w:rFonts w:ascii="Times New Roman" w:hAnsi="Times New Roman"/>
          <w:i/>
          <w:sz w:val="20"/>
          <w:szCs w:val="20"/>
        </w:rPr>
        <w:t>.</w:t>
      </w:r>
    </w:p>
  </w:footnote>
  <w:footnote w:id="53">
    <w:p w14:paraId="2F1ABE90"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sidRPr="00D25ABF">
        <w:rPr>
          <w:rFonts w:ascii="Times New Roman" w:hAnsi="Times New Roman"/>
          <w:sz w:val="20"/>
          <w:szCs w:val="20"/>
        </w:rPr>
        <w:t xml:space="preserve"> V. E. M</w:t>
      </w:r>
      <w:r w:rsidRPr="00792F32">
        <w:rPr>
          <w:rFonts w:ascii="Times New Roman" w:hAnsi="Times New Roman"/>
          <w:smallCaps/>
          <w:sz w:val="20"/>
          <w:szCs w:val="20"/>
        </w:rPr>
        <w:t>alfatti</w:t>
      </w:r>
      <w:r w:rsidRPr="00D25ABF">
        <w:rPr>
          <w:rFonts w:ascii="Times New Roman" w:hAnsi="Times New Roman"/>
          <w:sz w:val="20"/>
          <w:szCs w:val="20"/>
        </w:rPr>
        <w:t>,</w:t>
      </w:r>
      <w:r w:rsidRPr="00D25ABF">
        <w:rPr>
          <w:rFonts w:ascii="Times New Roman" w:hAnsi="Times New Roman"/>
          <w:i/>
          <w:sz w:val="20"/>
          <w:szCs w:val="20"/>
        </w:rPr>
        <w:t xml:space="preserve"> Il conflitto di attribuzioni fra poteri dello Stato</w:t>
      </w:r>
      <w:r w:rsidRPr="00792F32">
        <w:rPr>
          <w:rFonts w:ascii="Times New Roman" w:hAnsi="Times New Roman"/>
          <w:sz w:val="20"/>
          <w:szCs w:val="20"/>
        </w:rPr>
        <w:t xml:space="preserve">, in AA.VV., </w:t>
      </w:r>
      <w:r w:rsidRPr="00D25ABF">
        <w:rPr>
          <w:rFonts w:ascii="Times New Roman" w:hAnsi="Times New Roman"/>
          <w:i/>
          <w:sz w:val="20"/>
          <w:szCs w:val="20"/>
        </w:rPr>
        <w:t xml:space="preserve">Aggiornamenti in tema di processo costituzionale (2005-2007), </w:t>
      </w:r>
      <w:r w:rsidRPr="00D25ABF">
        <w:rPr>
          <w:rFonts w:ascii="Times New Roman" w:hAnsi="Times New Roman"/>
          <w:sz w:val="20"/>
          <w:szCs w:val="20"/>
        </w:rPr>
        <w:t>a cura di R. Romboli, Torino, 2008, 386 ss.</w:t>
      </w:r>
    </w:p>
  </w:footnote>
  <w:footnote w:id="54">
    <w:p w14:paraId="6B8F8573" w14:textId="06FB1240" w:rsidR="005B65CD" w:rsidRPr="00C1681B" w:rsidRDefault="005B65CD" w:rsidP="00062C74">
      <w:pPr>
        <w:pStyle w:val="Testonotaapidipagina"/>
        <w:rPr>
          <w:b/>
          <w:sz w:val="22"/>
          <w:szCs w:val="22"/>
        </w:rPr>
      </w:pPr>
      <w:r w:rsidRPr="00CA46F8">
        <w:rPr>
          <w:rStyle w:val="Rimandonotaapidipagina"/>
          <w:sz w:val="22"/>
          <w:szCs w:val="22"/>
        </w:rPr>
        <w:footnoteRef/>
      </w:r>
      <w:r w:rsidRPr="00CA46F8">
        <w:rPr>
          <w:sz w:val="22"/>
          <w:szCs w:val="22"/>
        </w:rPr>
        <w:t xml:space="preserve"> </w:t>
      </w:r>
      <w:r w:rsidRPr="00C1681B">
        <w:rPr>
          <w:b/>
          <w:sz w:val="22"/>
          <w:szCs w:val="22"/>
        </w:rPr>
        <w:t>V. Corte di Cassa</w:t>
      </w:r>
      <w:r w:rsidR="00C1681B">
        <w:rPr>
          <w:b/>
          <w:sz w:val="22"/>
          <w:szCs w:val="22"/>
        </w:rPr>
        <w:t xml:space="preserve">zione, SS.UU. civili,  </w:t>
      </w:r>
      <w:proofErr w:type="spellStart"/>
      <w:r w:rsidR="00C1681B">
        <w:rPr>
          <w:b/>
          <w:sz w:val="22"/>
          <w:szCs w:val="22"/>
        </w:rPr>
        <w:t>ordin</w:t>
      </w:r>
      <w:proofErr w:type="spellEnd"/>
      <w:r w:rsidR="00C1681B">
        <w:rPr>
          <w:b/>
          <w:sz w:val="22"/>
          <w:szCs w:val="22"/>
        </w:rPr>
        <w:t>.</w:t>
      </w:r>
      <w:r w:rsidRPr="00C1681B">
        <w:rPr>
          <w:b/>
          <w:sz w:val="22"/>
          <w:szCs w:val="22"/>
        </w:rPr>
        <w:t xml:space="preserve"> n. 2</w:t>
      </w:r>
      <w:r w:rsidR="00062C74" w:rsidRPr="00C1681B">
        <w:rPr>
          <w:b/>
          <w:sz w:val="22"/>
          <w:szCs w:val="22"/>
        </w:rPr>
        <w:t>6934/2014..</w:t>
      </w:r>
    </w:p>
  </w:footnote>
  <w:footnote w:id="55">
    <w:p w14:paraId="77DB615E" w14:textId="541588EC" w:rsidR="005B65CD" w:rsidRPr="00CA46F8" w:rsidRDefault="005B65CD">
      <w:pPr>
        <w:pStyle w:val="Testonotaapidipagina"/>
        <w:rPr>
          <w:sz w:val="22"/>
          <w:szCs w:val="22"/>
        </w:rPr>
      </w:pPr>
      <w:r w:rsidRPr="00C1681B">
        <w:rPr>
          <w:rStyle w:val="Rimandonotaapidipagina"/>
          <w:b/>
          <w:sz w:val="22"/>
          <w:szCs w:val="22"/>
        </w:rPr>
        <w:footnoteRef/>
      </w:r>
      <w:r w:rsidRPr="00C1681B">
        <w:rPr>
          <w:b/>
          <w:sz w:val="22"/>
          <w:szCs w:val="22"/>
        </w:rPr>
        <w:t xml:space="preserve"> V</w:t>
      </w:r>
      <w:r w:rsidR="00C1681B" w:rsidRPr="00C1681B">
        <w:rPr>
          <w:b/>
          <w:sz w:val="22"/>
          <w:szCs w:val="22"/>
        </w:rPr>
        <w:t xml:space="preserve">. Corte  </w:t>
      </w:r>
      <w:proofErr w:type="spellStart"/>
      <w:r w:rsidR="00C1681B" w:rsidRPr="00C1681B">
        <w:rPr>
          <w:b/>
          <w:sz w:val="22"/>
          <w:szCs w:val="22"/>
        </w:rPr>
        <w:t>Cass</w:t>
      </w:r>
      <w:proofErr w:type="spellEnd"/>
      <w:r w:rsidR="00C1681B" w:rsidRPr="00C1681B">
        <w:rPr>
          <w:b/>
          <w:sz w:val="22"/>
          <w:szCs w:val="22"/>
        </w:rPr>
        <w:t xml:space="preserve">. </w:t>
      </w:r>
      <w:r w:rsidRPr="00C1681B">
        <w:rPr>
          <w:b/>
          <w:sz w:val="22"/>
          <w:szCs w:val="22"/>
        </w:rPr>
        <w:t xml:space="preserve"> SS.UU. civili, </w:t>
      </w:r>
      <w:proofErr w:type="spellStart"/>
      <w:r w:rsidRPr="00C1681B">
        <w:rPr>
          <w:b/>
          <w:sz w:val="22"/>
          <w:szCs w:val="22"/>
        </w:rPr>
        <w:t>ord</w:t>
      </w:r>
      <w:proofErr w:type="spellEnd"/>
      <w:r w:rsidR="00C1681B">
        <w:rPr>
          <w:b/>
          <w:sz w:val="22"/>
          <w:szCs w:val="22"/>
        </w:rPr>
        <w:t>.</w:t>
      </w:r>
      <w:r w:rsidRPr="00CA46F8">
        <w:rPr>
          <w:b/>
          <w:sz w:val="22"/>
          <w:szCs w:val="22"/>
        </w:rPr>
        <w:t xml:space="preserve"> n. 740/2015.</w:t>
      </w:r>
    </w:p>
  </w:footnote>
  <w:footnote w:id="56">
    <w:p w14:paraId="14F0ACB8" w14:textId="05A600E3" w:rsidR="005B65CD" w:rsidRPr="00CA46F8" w:rsidRDefault="005B65CD">
      <w:pPr>
        <w:pStyle w:val="Testonotaapidipagina"/>
        <w:rPr>
          <w:b/>
          <w:sz w:val="22"/>
          <w:szCs w:val="22"/>
        </w:rPr>
      </w:pPr>
      <w:r>
        <w:rPr>
          <w:rStyle w:val="Rimandonotaapidipagina"/>
        </w:rPr>
        <w:footnoteRef/>
      </w:r>
      <w:r>
        <w:t xml:space="preserve"> </w:t>
      </w:r>
      <w:r w:rsidR="00C1681B">
        <w:rPr>
          <w:b/>
          <w:sz w:val="22"/>
          <w:szCs w:val="22"/>
        </w:rPr>
        <w:t xml:space="preserve">V. Corte di </w:t>
      </w:r>
      <w:proofErr w:type="spellStart"/>
      <w:r w:rsidR="00C1681B">
        <w:rPr>
          <w:b/>
          <w:sz w:val="22"/>
          <w:szCs w:val="22"/>
        </w:rPr>
        <w:t>Cass</w:t>
      </w:r>
      <w:proofErr w:type="spellEnd"/>
      <w:r w:rsidR="00C1681B">
        <w:rPr>
          <w:b/>
          <w:sz w:val="22"/>
          <w:szCs w:val="22"/>
        </w:rPr>
        <w:t>., SS. UU. civili, ordin.</w:t>
      </w:r>
      <w:r w:rsidRPr="00CA46F8">
        <w:rPr>
          <w:b/>
          <w:sz w:val="22"/>
          <w:szCs w:val="22"/>
        </w:rPr>
        <w:t xml:space="preserve"> n. 27396/2014.</w:t>
      </w:r>
    </w:p>
    <w:p w14:paraId="3570CED8" w14:textId="7FFF1018" w:rsidR="005B65CD" w:rsidRPr="00C1681B" w:rsidRDefault="005B65CD" w:rsidP="000C0C60">
      <w:pPr>
        <w:pStyle w:val="Testonotaapidipagina"/>
        <w:jc w:val="both"/>
        <w:rPr>
          <w:b/>
          <w:sz w:val="22"/>
          <w:szCs w:val="22"/>
        </w:rPr>
      </w:pPr>
      <w:r w:rsidRPr="00C1681B">
        <w:rPr>
          <w:b/>
          <w:sz w:val="22"/>
          <w:szCs w:val="22"/>
        </w:rPr>
        <w:t xml:space="preserve">    A commento dei tre provvedimenti appena citati in testo v. E. GRIGLIO, </w:t>
      </w:r>
      <w:r w:rsidRPr="00C1681B">
        <w:rPr>
          <w:b/>
          <w:i/>
          <w:sz w:val="22"/>
          <w:szCs w:val="22"/>
        </w:rPr>
        <w:t xml:space="preserve">Le Assemblee parlamentari, giudici in causa propria, ma non a titolo esclusivo? I seguiti della </w:t>
      </w:r>
      <w:proofErr w:type="spellStart"/>
      <w:r w:rsidRPr="00C1681B">
        <w:rPr>
          <w:b/>
          <w:i/>
          <w:sz w:val="22"/>
          <w:szCs w:val="22"/>
        </w:rPr>
        <w:t>sent</w:t>
      </w:r>
      <w:proofErr w:type="spellEnd"/>
      <w:r w:rsidRPr="00C1681B">
        <w:rPr>
          <w:b/>
          <w:i/>
          <w:sz w:val="22"/>
          <w:szCs w:val="22"/>
        </w:rPr>
        <w:t>. n. 120/2014 della Corte costituzionale</w:t>
      </w:r>
      <w:r w:rsidRPr="00C1681B">
        <w:rPr>
          <w:b/>
          <w:sz w:val="22"/>
          <w:szCs w:val="22"/>
        </w:rPr>
        <w:t xml:space="preserve">, in </w:t>
      </w:r>
      <w:r w:rsidRPr="00C1681B">
        <w:rPr>
          <w:b/>
          <w:i/>
          <w:sz w:val="22"/>
          <w:szCs w:val="22"/>
        </w:rPr>
        <w:t>Osservatoriosullefonti.it</w:t>
      </w:r>
      <w:r w:rsidRPr="00C1681B">
        <w:rPr>
          <w:b/>
          <w:sz w:val="22"/>
          <w:szCs w:val="22"/>
        </w:rPr>
        <w:t xml:space="preserve">, n.1/2015. V. anche in argomento R. IBRIDO, </w:t>
      </w:r>
      <w:r w:rsidRPr="00C1681B">
        <w:rPr>
          <w:b/>
          <w:i/>
          <w:sz w:val="22"/>
          <w:szCs w:val="22"/>
        </w:rPr>
        <w:t>Gli organi di autodichia delle Camere quali “giudici a quo”? A proposito di una recente ordinanza di rimessione,</w:t>
      </w:r>
      <w:r w:rsidRPr="00C1681B">
        <w:rPr>
          <w:b/>
          <w:sz w:val="22"/>
          <w:szCs w:val="22"/>
        </w:rPr>
        <w:t xml:space="preserve"> in </w:t>
      </w:r>
      <w:proofErr w:type="spellStart"/>
      <w:r w:rsidRPr="00C1681B">
        <w:rPr>
          <w:b/>
          <w:i/>
          <w:sz w:val="22"/>
          <w:szCs w:val="22"/>
        </w:rPr>
        <w:t>Quad</w:t>
      </w:r>
      <w:proofErr w:type="spellEnd"/>
      <w:r w:rsidRPr="00C1681B">
        <w:rPr>
          <w:b/>
          <w:i/>
          <w:sz w:val="22"/>
          <w:szCs w:val="22"/>
        </w:rPr>
        <w:t xml:space="preserve">. </w:t>
      </w:r>
      <w:proofErr w:type="spellStart"/>
      <w:r w:rsidRPr="00C1681B">
        <w:rPr>
          <w:b/>
          <w:i/>
          <w:sz w:val="22"/>
          <w:szCs w:val="22"/>
        </w:rPr>
        <w:t>cost</w:t>
      </w:r>
      <w:proofErr w:type="spellEnd"/>
      <w:r w:rsidRPr="00C1681B">
        <w:rPr>
          <w:b/>
          <w:i/>
          <w:sz w:val="22"/>
          <w:szCs w:val="22"/>
        </w:rPr>
        <w:t>.</w:t>
      </w:r>
      <w:r w:rsidRPr="00C1681B">
        <w:rPr>
          <w:b/>
          <w:sz w:val="22"/>
          <w:szCs w:val="22"/>
        </w:rPr>
        <w:t>, n. 1, 2015, 169 ss.</w:t>
      </w:r>
    </w:p>
  </w:footnote>
  <w:footnote w:id="57">
    <w:p w14:paraId="70DF1024" w14:textId="77777777" w:rsidR="005B65CD" w:rsidRPr="009B11A5" w:rsidRDefault="005B65CD" w:rsidP="00946DBC">
      <w:pPr>
        <w:pStyle w:val="Testonotaapidipagina"/>
        <w:jc w:val="both"/>
        <w:rPr>
          <w:sz w:val="20"/>
          <w:szCs w:val="20"/>
        </w:rPr>
      </w:pPr>
      <w:r w:rsidRPr="00CA46F8">
        <w:rPr>
          <w:rStyle w:val="Rimandonotaapidipagina"/>
          <w:sz w:val="22"/>
          <w:szCs w:val="22"/>
        </w:rPr>
        <w:footnoteRef/>
      </w:r>
      <w:r w:rsidRPr="00CA46F8">
        <w:rPr>
          <w:sz w:val="22"/>
          <w:szCs w:val="22"/>
        </w:rPr>
        <w:t xml:space="preserve"> </w:t>
      </w:r>
      <w:r w:rsidRPr="009B11A5">
        <w:rPr>
          <w:sz w:val="20"/>
          <w:szCs w:val="20"/>
        </w:rPr>
        <w:t xml:space="preserve">Nella scorsa legislatura furono ben tre i disegni di legge presentati allo scopo di estendere anche agli atti degli organi  camerali la giurisdizione del giudice comune o amministrativa (v. XVI </w:t>
      </w:r>
      <w:proofErr w:type="spellStart"/>
      <w:r w:rsidRPr="009B11A5">
        <w:rPr>
          <w:sz w:val="20"/>
          <w:szCs w:val="20"/>
        </w:rPr>
        <w:t>Leg</w:t>
      </w:r>
      <w:proofErr w:type="spellEnd"/>
      <w:r w:rsidRPr="009B11A5">
        <w:rPr>
          <w:sz w:val="20"/>
          <w:szCs w:val="20"/>
        </w:rPr>
        <w:t>. Atti Senato, disegno di legge n. 1560 e n. 3342; Atti Camera disegno di legge n. 5472). Per nessuna delle proposte in esame, tuttavia, è mai iniziato l’</w:t>
      </w:r>
      <w:r w:rsidRPr="009B11A5">
        <w:rPr>
          <w:i/>
          <w:sz w:val="20"/>
          <w:szCs w:val="20"/>
        </w:rPr>
        <w:t xml:space="preserve">iter </w:t>
      </w:r>
      <w:r w:rsidRPr="009B11A5">
        <w:rPr>
          <w:sz w:val="20"/>
          <w:szCs w:val="20"/>
        </w:rPr>
        <w:t>legislativo.</w:t>
      </w:r>
    </w:p>
    <w:p w14:paraId="387B2984" w14:textId="77777777" w:rsidR="005B65CD" w:rsidRPr="009B11A5" w:rsidRDefault="005B65CD" w:rsidP="00946DBC">
      <w:pPr>
        <w:pStyle w:val="Testonotaapidipagina"/>
        <w:jc w:val="both"/>
        <w:rPr>
          <w:sz w:val="20"/>
          <w:szCs w:val="20"/>
        </w:rPr>
      </w:pPr>
      <w:r w:rsidRPr="009B11A5">
        <w:rPr>
          <w:sz w:val="20"/>
          <w:szCs w:val="20"/>
        </w:rPr>
        <w:t xml:space="preserve">  Un ulteriore disegno di legge è stato presentato anche nell’attuale legislatura (XVII </w:t>
      </w:r>
      <w:proofErr w:type="spellStart"/>
      <w:r w:rsidRPr="009B11A5">
        <w:rPr>
          <w:sz w:val="20"/>
          <w:szCs w:val="20"/>
        </w:rPr>
        <w:t>Leg</w:t>
      </w:r>
      <w:proofErr w:type="spellEnd"/>
      <w:r w:rsidRPr="009B11A5">
        <w:rPr>
          <w:sz w:val="20"/>
          <w:szCs w:val="20"/>
        </w:rPr>
        <w:t>., Atti Senato, disegno di legge n. 1175).  Anche in questo caso, però, non è ancora iniziato l’</w:t>
      </w:r>
      <w:r w:rsidRPr="009B11A5">
        <w:rPr>
          <w:i/>
          <w:sz w:val="20"/>
          <w:szCs w:val="20"/>
        </w:rPr>
        <w:t>iter</w:t>
      </w:r>
      <w:r w:rsidRPr="009B11A5">
        <w:rPr>
          <w:sz w:val="20"/>
          <w:szCs w:val="20"/>
        </w:rPr>
        <w:t xml:space="preserve"> legislativo.</w:t>
      </w:r>
    </w:p>
  </w:footnote>
  <w:footnote w:id="58">
    <w:p w14:paraId="67F49148" w14:textId="64331BE1" w:rsidR="005B65CD" w:rsidRPr="009B11A5" w:rsidRDefault="005B65CD" w:rsidP="00946DBC">
      <w:pPr>
        <w:pStyle w:val="Testonotaapidipagina"/>
        <w:jc w:val="both"/>
        <w:rPr>
          <w:sz w:val="20"/>
          <w:szCs w:val="20"/>
        </w:rPr>
      </w:pPr>
      <w:r w:rsidRPr="009B11A5">
        <w:rPr>
          <w:rStyle w:val="Rimandonotaapidipagina"/>
          <w:sz w:val="20"/>
          <w:szCs w:val="20"/>
        </w:rPr>
        <w:footnoteRef/>
      </w:r>
      <w:r w:rsidRPr="009B11A5">
        <w:rPr>
          <w:sz w:val="20"/>
          <w:szCs w:val="20"/>
        </w:rPr>
        <w:t xml:space="preserve"> Va ricordato</w:t>
      </w:r>
      <w:r>
        <w:rPr>
          <w:sz w:val="20"/>
          <w:szCs w:val="20"/>
        </w:rPr>
        <w:t>, infatti,  che anche la Corte costituzionale</w:t>
      </w:r>
      <w:r w:rsidRPr="009B11A5">
        <w:rPr>
          <w:sz w:val="20"/>
          <w:szCs w:val="20"/>
        </w:rPr>
        <w:t xml:space="preserve"> gode dell’autodichia per le controversie di lavoro con i propri dipendenti ex art. 14, comma 3, l. n. 87 del 1953, così come modificato dall’art. 4, comma 3, l.  n. 265 del 1958.</w:t>
      </w:r>
    </w:p>
  </w:footnote>
  <w:footnote w:id="59">
    <w:p w14:paraId="2C765950" w14:textId="77777777" w:rsidR="005B65CD" w:rsidRPr="009B11A5" w:rsidRDefault="005B65CD" w:rsidP="00946DBC">
      <w:pPr>
        <w:pStyle w:val="Testonotaapidipagina"/>
        <w:jc w:val="both"/>
        <w:rPr>
          <w:sz w:val="20"/>
          <w:szCs w:val="20"/>
        </w:rPr>
      </w:pPr>
      <w:r w:rsidRPr="009B11A5">
        <w:rPr>
          <w:rStyle w:val="Rimandonotaapidipagina"/>
          <w:sz w:val="20"/>
          <w:szCs w:val="20"/>
        </w:rPr>
        <w:footnoteRef/>
      </w:r>
      <w:r w:rsidRPr="009B11A5">
        <w:rPr>
          <w:sz w:val="20"/>
          <w:szCs w:val="20"/>
        </w:rPr>
        <w:t xml:space="preserve"> V. M. MANETTI, </w:t>
      </w:r>
      <w:r w:rsidRPr="009B11A5">
        <w:rPr>
          <w:i/>
          <w:sz w:val="20"/>
          <w:szCs w:val="20"/>
        </w:rPr>
        <w:t>op.cit.</w:t>
      </w:r>
      <w:r w:rsidRPr="009B11A5">
        <w:rPr>
          <w:sz w:val="20"/>
          <w:szCs w:val="20"/>
        </w:rPr>
        <w:t>, 3.</w:t>
      </w:r>
    </w:p>
  </w:footnote>
  <w:footnote w:id="60">
    <w:p w14:paraId="2876979F" w14:textId="77777777" w:rsidR="005B65CD" w:rsidRPr="009B11A5" w:rsidRDefault="005B65CD" w:rsidP="00D22A65">
      <w:pPr>
        <w:pStyle w:val="Testonotaapidipagina"/>
        <w:jc w:val="both"/>
        <w:rPr>
          <w:sz w:val="20"/>
          <w:szCs w:val="20"/>
        </w:rPr>
      </w:pPr>
      <w:r w:rsidRPr="009B11A5">
        <w:rPr>
          <w:rStyle w:val="Rimandonotaapidipagina"/>
          <w:sz w:val="20"/>
          <w:szCs w:val="20"/>
        </w:rPr>
        <w:footnoteRef/>
      </w:r>
      <w:r w:rsidRPr="009B11A5">
        <w:rPr>
          <w:sz w:val="20"/>
          <w:szCs w:val="20"/>
        </w:rPr>
        <w:t xml:space="preserve"> Sul punto v. M.C. GRISOLIA, </w:t>
      </w:r>
      <w:r w:rsidRPr="009B11A5">
        <w:rPr>
          <w:i/>
          <w:sz w:val="20"/>
          <w:szCs w:val="20"/>
        </w:rPr>
        <w:t>L’autodichia della Corte costituzionale: una prerogativa di discutibile attualità</w:t>
      </w:r>
      <w:r w:rsidRPr="009B11A5">
        <w:rPr>
          <w:sz w:val="20"/>
          <w:szCs w:val="20"/>
        </w:rPr>
        <w:t xml:space="preserve">, in AA.VV., </w:t>
      </w:r>
      <w:r w:rsidRPr="009B11A5">
        <w:rPr>
          <w:i/>
          <w:sz w:val="20"/>
          <w:szCs w:val="20"/>
        </w:rPr>
        <w:t>L’organizzazione e il funzionamento della Corte costituzionale</w:t>
      </w:r>
      <w:r w:rsidRPr="009B11A5">
        <w:rPr>
          <w:sz w:val="20"/>
          <w:szCs w:val="20"/>
        </w:rPr>
        <w:t>, a cura di P. Costanzo, Torino, 1996, 94.</w:t>
      </w:r>
    </w:p>
  </w:footnote>
  <w:footnote w:id="61">
    <w:p w14:paraId="53854D3B" w14:textId="77777777" w:rsidR="005B65CD" w:rsidRPr="00D25ABF" w:rsidRDefault="005B65CD" w:rsidP="00D25ABF">
      <w:pPr>
        <w:pStyle w:val="Testonotaapidipagina"/>
        <w:ind w:firstLine="709"/>
        <w:jc w:val="both"/>
        <w:rPr>
          <w:rFonts w:ascii="Times New Roman" w:hAnsi="Times New Roman"/>
          <w:sz w:val="20"/>
          <w:szCs w:val="20"/>
        </w:rPr>
      </w:pPr>
      <w:r w:rsidRPr="00D25ABF">
        <w:rPr>
          <w:rStyle w:val="Rimandonotaapidipagina"/>
          <w:rFonts w:ascii="Times New Roman" w:hAnsi="Times New Roman"/>
          <w:sz w:val="20"/>
          <w:szCs w:val="20"/>
        </w:rPr>
        <w:footnoteRef/>
      </w:r>
      <w:r>
        <w:rPr>
          <w:rFonts w:ascii="Times New Roman" w:hAnsi="Times New Roman"/>
          <w:sz w:val="20"/>
          <w:szCs w:val="20"/>
        </w:rPr>
        <w:t xml:space="preserve"> V. M. </w:t>
      </w:r>
      <w:r w:rsidRPr="00792F32">
        <w:rPr>
          <w:rFonts w:ascii="Times New Roman" w:hAnsi="Times New Roman"/>
          <w:smallCaps/>
          <w:sz w:val="20"/>
          <w:szCs w:val="20"/>
        </w:rPr>
        <w:t>M</w:t>
      </w:r>
      <w:r>
        <w:rPr>
          <w:rFonts w:ascii="Times New Roman" w:hAnsi="Times New Roman"/>
          <w:smallCaps/>
          <w:sz w:val="20"/>
          <w:szCs w:val="20"/>
        </w:rPr>
        <w:t>a</w:t>
      </w:r>
      <w:r w:rsidRPr="00792F32">
        <w:rPr>
          <w:rFonts w:ascii="Times New Roman" w:hAnsi="Times New Roman"/>
          <w:smallCaps/>
          <w:sz w:val="20"/>
          <w:szCs w:val="20"/>
        </w:rPr>
        <w:t>netti</w:t>
      </w:r>
      <w:r w:rsidRPr="00D25ABF">
        <w:rPr>
          <w:rFonts w:ascii="Times New Roman" w:hAnsi="Times New Roman"/>
          <w:sz w:val="20"/>
          <w:szCs w:val="20"/>
        </w:rPr>
        <w:t xml:space="preserve">, </w:t>
      </w:r>
      <w:r w:rsidRPr="00D25ABF">
        <w:rPr>
          <w:rFonts w:ascii="Times New Roman" w:hAnsi="Times New Roman"/>
          <w:i/>
          <w:sz w:val="20"/>
          <w:szCs w:val="20"/>
        </w:rPr>
        <w:t>op. cit</w:t>
      </w:r>
      <w:r w:rsidRPr="00D25ABF">
        <w:rPr>
          <w:rFonts w:ascii="Times New Roman" w:hAnsi="Times New Roman"/>
          <w:sz w:val="20"/>
          <w:szCs w:val="20"/>
        </w:rPr>
        <w:t>., 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46CB"/>
    <w:multiLevelType w:val="hybridMultilevel"/>
    <w:tmpl w:val="9E20B15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3910502E"/>
    <w:multiLevelType w:val="hybridMultilevel"/>
    <w:tmpl w:val="6704829E"/>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59C9307E"/>
    <w:multiLevelType w:val="hybridMultilevel"/>
    <w:tmpl w:val="75EE86F8"/>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70F543E8"/>
    <w:multiLevelType w:val="hybridMultilevel"/>
    <w:tmpl w:val="E4C61F3C"/>
    <w:lvl w:ilvl="0" w:tplc="0410000F">
      <w:start w:val="1"/>
      <w:numFmt w:val="decimal"/>
      <w:lvlText w:val="%1."/>
      <w:lvlJc w:val="left"/>
      <w:pPr>
        <w:ind w:left="720" w:hanging="360"/>
      </w:pPr>
      <w:rPr>
        <w:rFonts w:cs="Times New Roman" w:hint="default"/>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2"/>
    <w:rsid w:val="0000416E"/>
    <w:rsid w:val="00006F79"/>
    <w:rsid w:val="0001336B"/>
    <w:rsid w:val="000169FE"/>
    <w:rsid w:val="00040C0D"/>
    <w:rsid w:val="0004312C"/>
    <w:rsid w:val="000431F7"/>
    <w:rsid w:val="00044C6B"/>
    <w:rsid w:val="00047503"/>
    <w:rsid w:val="0005109E"/>
    <w:rsid w:val="00057BB8"/>
    <w:rsid w:val="00062C74"/>
    <w:rsid w:val="00075E5A"/>
    <w:rsid w:val="00077345"/>
    <w:rsid w:val="00082CB9"/>
    <w:rsid w:val="000875F4"/>
    <w:rsid w:val="00094169"/>
    <w:rsid w:val="000A27A0"/>
    <w:rsid w:val="000A439B"/>
    <w:rsid w:val="000B0A0A"/>
    <w:rsid w:val="000B5F29"/>
    <w:rsid w:val="000C0C60"/>
    <w:rsid w:val="000C2298"/>
    <w:rsid w:val="000D5099"/>
    <w:rsid w:val="000F19F1"/>
    <w:rsid w:val="001026BD"/>
    <w:rsid w:val="001059A9"/>
    <w:rsid w:val="00113574"/>
    <w:rsid w:val="00121AAC"/>
    <w:rsid w:val="00132EB7"/>
    <w:rsid w:val="00141A90"/>
    <w:rsid w:val="0014592B"/>
    <w:rsid w:val="00146916"/>
    <w:rsid w:val="00152DAE"/>
    <w:rsid w:val="0016297A"/>
    <w:rsid w:val="00162BF1"/>
    <w:rsid w:val="00163A14"/>
    <w:rsid w:val="00171361"/>
    <w:rsid w:val="00173B90"/>
    <w:rsid w:val="00173F42"/>
    <w:rsid w:val="00175096"/>
    <w:rsid w:val="00176284"/>
    <w:rsid w:val="00177A91"/>
    <w:rsid w:val="00180E89"/>
    <w:rsid w:val="001A2642"/>
    <w:rsid w:val="001A5F2B"/>
    <w:rsid w:val="001B4E8C"/>
    <w:rsid w:val="001B6CE3"/>
    <w:rsid w:val="001C7BAC"/>
    <w:rsid w:val="001D3A8C"/>
    <w:rsid w:val="001E075C"/>
    <w:rsid w:val="001E49F3"/>
    <w:rsid w:val="001E710B"/>
    <w:rsid w:val="001F324C"/>
    <w:rsid w:val="002018FB"/>
    <w:rsid w:val="00201E56"/>
    <w:rsid w:val="00217FDE"/>
    <w:rsid w:val="00220F60"/>
    <w:rsid w:val="002227D1"/>
    <w:rsid w:val="0022482C"/>
    <w:rsid w:val="00240A83"/>
    <w:rsid w:val="002566A3"/>
    <w:rsid w:val="00256962"/>
    <w:rsid w:val="00265F65"/>
    <w:rsid w:val="00266F9D"/>
    <w:rsid w:val="0027428A"/>
    <w:rsid w:val="002771F5"/>
    <w:rsid w:val="002809FB"/>
    <w:rsid w:val="00282026"/>
    <w:rsid w:val="002842A0"/>
    <w:rsid w:val="0029277D"/>
    <w:rsid w:val="002A0FEA"/>
    <w:rsid w:val="002A5A3F"/>
    <w:rsid w:val="002B438F"/>
    <w:rsid w:val="002B447B"/>
    <w:rsid w:val="002B5CCE"/>
    <w:rsid w:val="002B7DAA"/>
    <w:rsid w:val="002C2C10"/>
    <w:rsid w:val="002C79BA"/>
    <w:rsid w:val="002D7EC9"/>
    <w:rsid w:val="002E0355"/>
    <w:rsid w:val="002E1035"/>
    <w:rsid w:val="002E1305"/>
    <w:rsid w:val="002E198F"/>
    <w:rsid w:val="002E5DD6"/>
    <w:rsid w:val="002F7D1D"/>
    <w:rsid w:val="00310EDF"/>
    <w:rsid w:val="00316FFB"/>
    <w:rsid w:val="003177AD"/>
    <w:rsid w:val="00337E14"/>
    <w:rsid w:val="003419FD"/>
    <w:rsid w:val="0035045B"/>
    <w:rsid w:val="00353B35"/>
    <w:rsid w:val="00361020"/>
    <w:rsid w:val="0036613E"/>
    <w:rsid w:val="00371CFC"/>
    <w:rsid w:val="00371DE9"/>
    <w:rsid w:val="00373D8C"/>
    <w:rsid w:val="00376A68"/>
    <w:rsid w:val="00376BD7"/>
    <w:rsid w:val="003834C5"/>
    <w:rsid w:val="00386F98"/>
    <w:rsid w:val="00392204"/>
    <w:rsid w:val="00394108"/>
    <w:rsid w:val="00395685"/>
    <w:rsid w:val="003A2A3D"/>
    <w:rsid w:val="003A764E"/>
    <w:rsid w:val="003B34A7"/>
    <w:rsid w:val="003C0746"/>
    <w:rsid w:val="003C3D36"/>
    <w:rsid w:val="003C3D69"/>
    <w:rsid w:val="003E401C"/>
    <w:rsid w:val="003E51C2"/>
    <w:rsid w:val="003E5EAB"/>
    <w:rsid w:val="003F2793"/>
    <w:rsid w:val="003F570F"/>
    <w:rsid w:val="004079DA"/>
    <w:rsid w:val="0041675A"/>
    <w:rsid w:val="00426DA9"/>
    <w:rsid w:val="004270F9"/>
    <w:rsid w:val="00432DAF"/>
    <w:rsid w:val="0043361D"/>
    <w:rsid w:val="00441ADD"/>
    <w:rsid w:val="004443E4"/>
    <w:rsid w:val="00445227"/>
    <w:rsid w:val="004518D9"/>
    <w:rsid w:val="00451B1D"/>
    <w:rsid w:val="00454D85"/>
    <w:rsid w:val="004571EF"/>
    <w:rsid w:val="00457F8D"/>
    <w:rsid w:val="004661E2"/>
    <w:rsid w:val="004718CE"/>
    <w:rsid w:val="00472140"/>
    <w:rsid w:val="00477F89"/>
    <w:rsid w:val="004A0CB7"/>
    <w:rsid w:val="004A4B30"/>
    <w:rsid w:val="004B11B5"/>
    <w:rsid w:val="004C5D61"/>
    <w:rsid w:val="004D264D"/>
    <w:rsid w:val="004D37B6"/>
    <w:rsid w:val="004D6671"/>
    <w:rsid w:val="004E4923"/>
    <w:rsid w:val="004F1D10"/>
    <w:rsid w:val="004F55DD"/>
    <w:rsid w:val="004F5729"/>
    <w:rsid w:val="00502405"/>
    <w:rsid w:val="00506851"/>
    <w:rsid w:val="005106AE"/>
    <w:rsid w:val="00510D96"/>
    <w:rsid w:val="00512B60"/>
    <w:rsid w:val="0051300F"/>
    <w:rsid w:val="005178C4"/>
    <w:rsid w:val="00522373"/>
    <w:rsid w:val="00525E29"/>
    <w:rsid w:val="00527DB1"/>
    <w:rsid w:val="00531DC6"/>
    <w:rsid w:val="00533E9F"/>
    <w:rsid w:val="00535103"/>
    <w:rsid w:val="005372B9"/>
    <w:rsid w:val="0053735D"/>
    <w:rsid w:val="00537AB0"/>
    <w:rsid w:val="0054020A"/>
    <w:rsid w:val="005418F3"/>
    <w:rsid w:val="00560AFD"/>
    <w:rsid w:val="0056125A"/>
    <w:rsid w:val="0056225D"/>
    <w:rsid w:val="00567809"/>
    <w:rsid w:val="005679B3"/>
    <w:rsid w:val="00573466"/>
    <w:rsid w:val="0058382B"/>
    <w:rsid w:val="00595EEF"/>
    <w:rsid w:val="005B0DFA"/>
    <w:rsid w:val="005B65CD"/>
    <w:rsid w:val="005C1A35"/>
    <w:rsid w:val="005C7330"/>
    <w:rsid w:val="005E1497"/>
    <w:rsid w:val="005E39E9"/>
    <w:rsid w:val="005E7727"/>
    <w:rsid w:val="005F1F36"/>
    <w:rsid w:val="005F47F2"/>
    <w:rsid w:val="005F5003"/>
    <w:rsid w:val="005F74D4"/>
    <w:rsid w:val="005F7D3B"/>
    <w:rsid w:val="0060353B"/>
    <w:rsid w:val="00611D2C"/>
    <w:rsid w:val="00612BBB"/>
    <w:rsid w:val="006254E7"/>
    <w:rsid w:val="00626494"/>
    <w:rsid w:val="00630D4B"/>
    <w:rsid w:val="0063276E"/>
    <w:rsid w:val="00633D4B"/>
    <w:rsid w:val="006355D9"/>
    <w:rsid w:val="00636801"/>
    <w:rsid w:val="00644D8A"/>
    <w:rsid w:val="006551FC"/>
    <w:rsid w:val="00663461"/>
    <w:rsid w:val="006670B9"/>
    <w:rsid w:val="00681D15"/>
    <w:rsid w:val="0068382D"/>
    <w:rsid w:val="00692568"/>
    <w:rsid w:val="0069477B"/>
    <w:rsid w:val="006A33B6"/>
    <w:rsid w:val="006B1560"/>
    <w:rsid w:val="006B32B7"/>
    <w:rsid w:val="006B74C3"/>
    <w:rsid w:val="006C102F"/>
    <w:rsid w:val="006C2D9E"/>
    <w:rsid w:val="006C528F"/>
    <w:rsid w:val="006C5319"/>
    <w:rsid w:val="006C718E"/>
    <w:rsid w:val="006D2AAD"/>
    <w:rsid w:val="006D421F"/>
    <w:rsid w:val="006D6E15"/>
    <w:rsid w:val="006E0DB5"/>
    <w:rsid w:val="006E3782"/>
    <w:rsid w:val="006F075B"/>
    <w:rsid w:val="006F4D49"/>
    <w:rsid w:val="006F4D8B"/>
    <w:rsid w:val="006F7658"/>
    <w:rsid w:val="00707E14"/>
    <w:rsid w:val="00721E41"/>
    <w:rsid w:val="0073709B"/>
    <w:rsid w:val="00741275"/>
    <w:rsid w:val="00742817"/>
    <w:rsid w:val="0074292C"/>
    <w:rsid w:val="007429FC"/>
    <w:rsid w:val="00743614"/>
    <w:rsid w:val="00745A6B"/>
    <w:rsid w:val="00775CBC"/>
    <w:rsid w:val="0077601E"/>
    <w:rsid w:val="00786338"/>
    <w:rsid w:val="00791E9C"/>
    <w:rsid w:val="00792F32"/>
    <w:rsid w:val="007932E6"/>
    <w:rsid w:val="007A006A"/>
    <w:rsid w:val="007A5814"/>
    <w:rsid w:val="007B0AD2"/>
    <w:rsid w:val="007B3487"/>
    <w:rsid w:val="007B5B6B"/>
    <w:rsid w:val="007D120A"/>
    <w:rsid w:val="007E594F"/>
    <w:rsid w:val="007F48BC"/>
    <w:rsid w:val="00812BCF"/>
    <w:rsid w:val="008130E9"/>
    <w:rsid w:val="00816FA3"/>
    <w:rsid w:val="008218BC"/>
    <w:rsid w:val="00822D03"/>
    <w:rsid w:val="00831D39"/>
    <w:rsid w:val="00833CC2"/>
    <w:rsid w:val="0084203E"/>
    <w:rsid w:val="00845A20"/>
    <w:rsid w:val="00845C48"/>
    <w:rsid w:val="00845E55"/>
    <w:rsid w:val="008511DD"/>
    <w:rsid w:val="008572DC"/>
    <w:rsid w:val="00861F1A"/>
    <w:rsid w:val="00872164"/>
    <w:rsid w:val="00875DF0"/>
    <w:rsid w:val="00882E4A"/>
    <w:rsid w:val="00890456"/>
    <w:rsid w:val="00891032"/>
    <w:rsid w:val="008A1153"/>
    <w:rsid w:val="008A42E0"/>
    <w:rsid w:val="008A7948"/>
    <w:rsid w:val="008C0999"/>
    <w:rsid w:val="008C1E06"/>
    <w:rsid w:val="008C343B"/>
    <w:rsid w:val="008D7381"/>
    <w:rsid w:val="008E252F"/>
    <w:rsid w:val="008F5A8D"/>
    <w:rsid w:val="00903B72"/>
    <w:rsid w:val="009043DC"/>
    <w:rsid w:val="00906806"/>
    <w:rsid w:val="0090687F"/>
    <w:rsid w:val="009120A5"/>
    <w:rsid w:val="0091275A"/>
    <w:rsid w:val="00915270"/>
    <w:rsid w:val="0092524B"/>
    <w:rsid w:val="00937D66"/>
    <w:rsid w:val="00942C9C"/>
    <w:rsid w:val="00946916"/>
    <w:rsid w:val="00946DBC"/>
    <w:rsid w:val="0095097F"/>
    <w:rsid w:val="009614F0"/>
    <w:rsid w:val="00962A91"/>
    <w:rsid w:val="009746C1"/>
    <w:rsid w:val="00986AA7"/>
    <w:rsid w:val="0099604C"/>
    <w:rsid w:val="009B11A5"/>
    <w:rsid w:val="009B1BFC"/>
    <w:rsid w:val="009C427C"/>
    <w:rsid w:val="009C4453"/>
    <w:rsid w:val="009C4F43"/>
    <w:rsid w:val="009E387A"/>
    <w:rsid w:val="00A07462"/>
    <w:rsid w:val="00A07711"/>
    <w:rsid w:val="00A16B01"/>
    <w:rsid w:val="00A16DD4"/>
    <w:rsid w:val="00A225BD"/>
    <w:rsid w:val="00A23CEF"/>
    <w:rsid w:val="00A31C95"/>
    <w:rsid w:val="00A34889"/>
    <w:rsid w:val="00A4032A"/>
    <w:rsid w:val="00A426EC"/>
    <w:rsid w:val="00A579B4"/>
    <w:rsid w:val="00A61BCC"/>
    <w:rsid w:val="00A63292"/>
    <w:rsid w:val="00A652FD"/>
    <w:rsid w:val="00A65A72"/>
    <w:rsid w:val="00A76596"/>
    <w:rsid w:val="00A86143"/>
    <w:rsid w:val="00A9617C"/>
    <w:rsid w:val="00AA0A31"/>
    <w:rsid w:val="00AA28AC"/>
    <w:rsid w:val="00AA28D4"/>
    <w:rsid w:val="00AA443A"/>
    <w:rsid w:val="00AA6217"/>
    <w:rsid w:val="00AB0E32"/>
    <w:rsid w:val="00AC4950"/>
    <w:rsid w:val="00AC5BA7"/>
    <w:rsid w:val="00AD6C2D"/>
    <w:rsid w:val="00AE5C3A"/>
    <w:rsid w:val="00AE72AC"/>
    <w:rsid w:val="00AF711D"/>
    <w:rsid w:val="00B13492"/>
    <w:rsid w:val="00B15EFD"/>
    <w:rsid w:val="00B22612"/>
    <w:rsid w:val="00B23F69"/>
    <w:rsid w:val="00B35222"/>
    <w:rsid w:val="00B379C8"/>
    <w:rsid w:val="00B42C2E"/>
    <w:rsid w:val="00B55969"/>
    <w:rsid w:val="00B57657"/>
    <w:rsid w:val="00B65A06"/>
    <w:rsid w:val="00B716C0"/>
    <w:rsid w:val="00B8550C"/>
    <w:rsid w:val="00B8569F"/>
    <w:rsid w:val="00B90733"/>
    <w:rsid w:val="00B97F3B"/>
    <w:rsid w:val="00BA081A"/>
    <w:rsid w:val="00BB06CA"/>
    <w:rsid w:val="00BB23BB"/>
    <w:rsid w:val="00BD1380"/>
    <w:rsid w:val="00BD1B24"/>
    <w:rsid w:val="00BD3B19"/>
    <w:rsid w:val="00BD5DFD"/>
    <w:rsid w:val="00BD6D56"/>
    <w:rsid w:val="00BE77E4"/>
    <w:rsid w:val="00BE7A76"/>
    <w:rsid w:val="00BF093E"/>
    <w:rsid w:val="00BF2004"/>
    <w:rsid w:val="00BF7A12"/>
    <w:rsid w:val="00C0453F"/>
    <w:rsid w:val="00C10FBC"/>
    <w:rsid w:val="00C128A5"/>
    <w:rsid w:val="00C1681B"/>
    <w:rsid w:val="00C17C32"/>
    <w:rsid w:val="00C34A7D"/>
    <w:rsid w:val="00C37704"/>
    <w:rsid w:val="00C40CA7"/>
    <w:rsid w:val="00C4277A"/>
    <w:rsid w:val="00C60A03"/>
    <w:rsid w:val="00C636BC"/>
    <w:rsid w:val="00C72F98"/>
    <w:rsid w:val="00C8743F"/>
    <w:rsid w:val="00C91C01"/>
    <w:rsid w:val="00CA46F8"/>
    <w:rsid w:val="00CD24D4"/>
    <w:rsid w:val="00CE09E1"/>
    <w:rsid w:val="00CE5C71"/>
    <w:rsid w:val="00CE74F4"/>
    <w:rsid w:val="00CF2459"/>
    <w:rsid w:val="00CF40FE"/>
    <w:rsid w:val="00CF5D68"/>
    <w:rsid w:val="00D11741"/>
    <w:rsid w:val="00D12F83"/>
    <w:rsid w:val="00D1321F"/>
    <w:rsid w:val="00D20643"/>
    <w:rsid w:val="00D22A65"/>
    <w:rsid w:val="00D25ABF"/>
    <w:rsid w:val="00D31DE0"/>
    <w:rsid w:val="00D40F72"/>
    <w:rsid w:val="00D418E1"/>
    <w:rsid w:val="00D43AD5"/>
    <w:rsid w:val="00D54F80"/>
    <w:rsid w:val="00D64482"/>
    <w:rsid w:val="00D7091B"/>
    <w:rsid w:val="00D73295"/>
    <w:rsid w:val="00D80B5A"/>
    <w:rsid w:val="00D80C66"/>
    <w:rsid w:val="00D868E2"/>
    <w:rsid w:val="00D945F9"/>
    <w:rsid w:val="00DA5110"/>
    <w:rsid w:val="00DB2650"/>
    <w:rsid w:val="00DB7AD0"/>
    <w:rsid w:val="00DC69FD"/>
    <w:rsid w:val="00DD5A37"/>
    <w:rsid w:val="00DD6ABC"/>
    <w:rsid w:val="00DE5BA5"/>
    <w:rsid w:val="00DE68AA"/>
    <w:rsid w:val="00DF0AFB"/>
    <w:rsid w:val="00E006CC"/>
    <w:rsid w:val="00E07E37"/>
    <w:rsid w:val="00E141F6"/>
    <w:rsid w:val="00E172E4"/>
    <w:rsid w:val="00E2320F"/>
    <w:rsid w:val="00E34D69"/>
    <w:rsid w:val="00E45F46"/>
    <w:rsid w:val="00E50CB1"/>
    <w:rsid w:val="00E511E3"/>
    <w:rsid w:val="00E606DD"/>
    <w:rsid w:val="00E66BEF"/>
    <w:rsid w:val="00E72D38"/>
    <w:rsid w:val="00E91CB4"/>
    <w:rsid w:val="00E9305B"/>
    <w:rsid w:val="00E976C0"/>
    <w:rsid w:val="00EB3B8E"/>
    <w:rsid w:val="00EF3877"/>
    <w:rsid w:val="00EF4D28"/>
    <w:rsid w:val="00EF5876"/>
    <w:rsid w:val="00EF6B5F"/>
    <w:rsid w:val="00F025E3"/>
    <w:rsid w:val="00F04FD7"/>
    <w:rsid w:val="00F267EE"/>
    <w:rsid w:val="00F31608"/>
    <w:rsid w:val="00F319FE"/>
    <w:rsid w:val="00F33DA6"/>
    <w:rsid w:val="00F373D6"/>
    <w:rsid w:val="00F441FC"/>
    <w:rsid w:val="00F60B86"/>
    <w:rsid w:val="00F6150A"/>
    <w:rsid w:val="00F67D05"/>
    <w:rsid w:val="00F71E6A"/>
    <w:rsid w:val="00F84D0C"/>
    <w:rsid w:val="00F87DE9"/>
    <w:rsid w:val="00FA41E4"/>
    <w:rsid w:val="00FB1DB9"/>
    <w:rsid w:val="00FB66C9"/>
    <w:rsid w:val="00FC5911"/>
    <w:rsid w:val="00FD13BB"/>
    <w:rsid w:val="00FD4F86"/>
    <w:rsid w:val="00FE2054"/>
    <w:rsid w:val="00FF2722"/>
    <w:rsid w:val="00FF31B1"/>
    <w:rsid w:val="00FF47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A8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743F"/>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27428A"/>
    <w:pPr>
      <w:ind w:left="720"/>
    </w:pPr>
  </w:style>
  <w:style w:type="paragraph" w:styleId="Testonotaapidipagina">
    <w:name w:val="footnote text"/>
    <w:basedOn w:val="Normale"/>
    <w:link w:val="TestonotaapidipaginaCarattere"/>
    <w:uiPriority w:val="99"/>
    <w:rsid w:val="00C37704"/>
  </w:style>
  <w:style w:type="character" w:customStyle="1" w:styleId="TestonotaapidipaginaCarattere">
    <w:name w:val="Testo nota a piè di pagina Carattere"/>
    <w:basedOn w:val="Caratterepredefinitoparagrafo"/>
    <w:link w:val="Testonotaapidipagina"/>
    <w:uiPriority w:val="99"/>
    <w:locked/>
    <w:rsid w:val="00C37704"/>
    <w:rPr>
      <w:rFonts w:cs="Times New Roman"/>
    </w:rPr>
  </w:style>
  <w:style w:type="character" w:styleId="Rimandonotaapidipagina">
    <w:name w:val="footnote reference"/>
    <w:basedOn w:val="Caratterepredefinitoparagrafo"/>
    <w:uiPriority w:val="99"/>
    <w:rsid w:val="00C37704"/>
    <w:rPr>
      <w:rFonts w:cs="Times New Roman"/>
      <w:vertAlign w:val="superscript"/>
    </w:rPr>
  </w:style>
  <w:style w:type="paragraph" w:styleId="Pidipagina">
    <w:name w:val="footer"/>
    <w:basedOn w:val="Normale"/>
    <w:link w:val="PidipaginaCarattere"/>
    <w:rsid w:val="00094169"/>
    <w:pPr>
      <w:tabs>
        <w:tab w:val="center" w:pos="4819"/>
        <w:tab w:val="right" w:pos="9638"/>
      </w:tabs>
    </w:pPr>
  </w:style>
  <w:style w:type="character" w:customStyle="1" w:styleId="PidipaginaCarattere">
    <w:name w:val="Piè di pagina Carattere"/>
    <w:basedOn w:val="Caratterepredefinitoparagrafo"/>
    <w:link w:val="Pidipagina"/>
    <w:locked/>
    <w:rsid w:val="00094169"/>
    <w:rPr>
      <w:rFonts w:cs="Times New Roman"/>
    </w:rPr>
  </w:style>
  <w:style w:type="character" w:styleId="Numeropagina">
    <w:name w:val="page number"/>
    <w:basedOn w:val="Caratterepredefinitoparagrafo"/>
    <w:semiHidden/>
    <w:rsid w:val="00094169"/>
    <w:rPr>
      <w:rFonts w:cs="Times New Roman"/>
    </w:rPr>
  </w:style>
  <w:style w:type="paragraph" w:styleId="Intestazione">
    <w:name w:val="header"/>
    <w:basedOn w:val="Normale"/>
    <w:link w:val="IntestazioneCarattere"/>
    <w:rsid w:val="002E198F"/>
    <w:pPr>
      <w:tabs>
        <w:tab w:val="center" w:pos="4819"/>
        <w:tab w:val="right" w:pos="9638"/>
      </w:tabs>
    </w:pPr>
  </w:style>
  <w:style w:type="character" w:customStyle="1" w:styleId="IntestazioneCarattere">
    <w:name w:val="Intestazione Carattere"/>
    <w:basedOn w:val="Caratterepredefinitoparagrafo"/>
    <w:link w:val="Intestazione"/>
    <w:locked/>
    <w:rsid w:val="002E198F"/>
    <w:rPr>
      <w:rFonts w:cs="Times New Roman"/>
    </w:rPr>
  </w:style>
  <w:style w:type="character" w:styleId="Collegamentoipertestuale">
    <w:name w:val="Hyperlink"/>
    <w:basedOn w:val="Caratterepredefinitoparagrafo"/>
    <w:rsid w:val="00E9305B"/>
    <w:rPr>
      <w:rFonts w:cs="Times New Roman"/>
      <w:color w:val="0000FF"/>
      <w:u w:val="single"/>
    </w:rPr>
  </w:style>
  <w:style w:type="character" w:styleId="Collegamentovisitato">
    <w:name w:val="FollowedHyperlink"/>
    <w:basedOn w:val="Caratterepredefinitoparagrafo"/>
    <w:semiHidden/>
    <w:rsid w:val="00E9305B"/>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743F"/>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27428A"/>
    <w:pPr>
      <w:ind w:left="720"/>
    </w:pPr>
  </w:style>
  <w:style w:type="paragraph" w:styleId="Testonotaapidipagina">
    <w:name w:val="footnote text"/>
    <w:basedOn w:val="Normale"/>
    <w:link w:val="TestonotaapidipaginaCarattere"/>
    <w:uiPriority w:val="99"/>
    <w:rsid w:val="00C37704"/>
  </w:style>
  <w:style w:type="character" w:customStyle="1" w:styleId="TestonotaapidipaginaCarattere">
    <w:name w:val="Testo nota a piè di pagina Carattere"/>
    <w:basedOn w:val="Caratterepredefinitoparagrafo"/>
    <w:link w:val="Testonotaapidipagina"/>
    <w:uiPriority w:val="99"/>
    <w:locked/>
    <w:rsid w:val="00C37704"/>
    <w:rPr>
      <w:rFonts w:cs="Times New Roman"/>
    </w:rPr>
  </w:style>
  <w:style w:type="character" w:styleId="Rimandonotaapidipagina">
    <w:name w:val="footnote reference"/>
    <w:basedOn w:val="Caratterepredefinitoparagrafo"/>
    <w:uiPriority w:val="99"/>
    <w:rsid w:val="00C37704"/>
    <w:rPr>
      <w:rFonts w:cs="Times New Roman"/>
      <w:vertAlign w:val="superscript"/>
    </w:rPr>
  </w:style>
  <w:style w:type="paragraph" w:styleId="Pidipagina">
    <w:name w:val="footer"/>
    <w:basedOn w:val="Normale"/>
    <w:link w:val="PidipaginaCarattere"/>
    <w:rsid w:val="00094169"/>
    <w:pPr>
      <w:tabs>
        <w:tab w:val="center" w:pos="4819"/>
        <w:tab w:val="right" w:pos="9638"/>
      </w:tabs>
    </w:pPr>
  </w:style>
  <w:style w:type="character" w:customStyle="1" w:styleId="PidipaginaCarattere">
    <w:name w:val="Piè di pagina Carattere"/>
    <w:basedOn w:val="Caratterepredefinitoparagrafo"/>
    <w:link w:val="Pidipagina"/>
    <w:locked/>
    <w:rsid w:val="00094169"/>
    <w:rPr>
      <w:rFonts w:cs="Times New Roman"/>
    </w:rPr>
  </w:style>
  <w:style w:type="character" w:styleId="Numeropagina">
    <w:name w:val="page number"/>
    <w:basedOn w:val="Caratterepredefinitoparagrafo"/>
    <w:semiHidden/>
    <w:rsid w:val="00094169"/>
    <w:rPr>
      <w:rFonts w:cs="Times New Roman"/>
    </w:rPr>
  </w:style>
  <w:style w:type="paragraph" w:styleId="Intestazione">
    <w:name w:val="header"/>
    <w:basedOn w:val="Normale"/>
    <w:link w:val="IntestazioneCarattere"/>
    <w:rsid w:val="002E198F"/>
    <w:pPr>
      <w:tabs>
        <w:tab w:val="center" w:pos="4819"/>
        <w:tab w:val="right" w:pos="9638"/>
      </w:tabs>
    </w:pPr>
  </w:style>
  <w:style w:type="character" w:customStyle="1" w:styleId="IntestazioneCarattere">
    <w:name w:val="Intestazione Carattere"/>
    <w:basedOn w:val="Caratterepredefinitoparagrafo"/>
    <w:link w:val="Intestazione"/>
    <w:locked/>
    <w:rsid w:val="002E198F"/>
    <w:rPr>
      <w:rFonts w:cs="Times New Roman"/>
    </w:rPr>
  </w:style>
  <w:style w:type="character" w:styleId="Collegamentoipertestuale">
    <w:name w:val="Hyperlink"/>
    <w:basedOn w:val="Caratterepredefinitoparagrafo"/>
    <w:rsid w:val="00E9305B"/>
    <w:rPr>
      <w:rFonts w:cs="Times New Roman"/>
      <w:color w:val="0000FF"/>
      <w:u w:val="single"/>
    </w:rPr>
  </w:style>
  <w:style w:type="character" w:styleId="Collegamentovisitato">
    <w:name w:val="FollowedHyperlink"/>
    <w:basedOn w:val="Caratterepredefinitoparagrafo"/>
    <w:semiHidden/>
    <w:rsid w:val="00E9305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associazionedeicostituzionalisti.it" TargetMode="External"/><Relationship Id="rId4" Type="http://schemas.openxmlformats.org/officeDocument/2006/relationships/hyperlink" Target="http://www.forumcostituzionale.it" TargetMode="External"/><Relationship Id="rId5" Type="http://schemas.openxmlformats.org/officeDocument/2006/relationships/hyperlink" Target="http://www.forumcostituzionale.it" TargetMode="External"/><Relationship Id="rId6" Type="http://schemas.openxmlformats.org/officeDocument/2006/relationships/hyperlink" Target="http://www.federalismi.it" TargetMode="External"/><Relationship Id="rId7" Type="http://schemas.openxmlformats.org/officeDocument/2006/relationships/hyperlink" Target="http://www.associazionedeicostituzionalisti.it" TargetMode="External"/><Relationship Id="rId8" Type="http://schemas.openxmlformats.org/officeDocument/2006/relationships/hyperlink" Target="http://www.forumcostituzionale.it" TargetMode="External"/><Relationship Id="rId9" Type="http://schemas.openxmlformats.org/officeDocument/2006/relationships/hyperlink" Target="http://www.federalismi.it" TargetMode="External"/><Relationship Id="rId10" Type="http://schemas.openxmlformats.org/officeDocument/2006/relationships/hyperlink" Target="http://www.federalismi.it" TargetMode="External"/><Relationship Id="rId11" Type="http://schemas.openxmlformats.org/officeDocument/2006/relationships/hyperlink" Target="http://www.associazionedeicostituzionalisti.it" TargetMode="External"/><Relationship Id="rId1" Type="http://schemas.openxmlformats.org/officeDocument/2006/relationships/hyperlink" Target="http://www.consultaonline.it" TargetMode="External"/><Relationship Id="rId2"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4269</Words>
  <Characters>24339</Characters>
  <Application>Microsoft Macintosh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MARIA CRISTINA GRISOLIA*</vt:lpstr>
    </vt:vector>
  </TitlesOfParts>
  <Company>università</Company>
  <LinksUpToDate>false</LinksUpToDate>
  <CharactersWithSpaces>28551</CharactersWithSpaces>
  <SharedDoc>false</SharedDoc>
  <HLinks>
    <vt:vector size="6" baseType="variant">
      <vt:variant>
        <vt:i4>6619171</vt:i4>
      </vt:variant>
      <vt:variant>
        <vt:i4>0</vt:i4>
      </vt:variant>
      <vt:variant>
        <vt:i4>0</vt:i4>
      </vt:variant>
      <vt:variant>
        <vt:i4>5</vt:i4>
      </vt:variant>
      <vt:variant>
        <vt:lpwstr>http://www.consultaonline/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CRISTINA GRISOLIA*</dc:title>
  <dc:subject/>
  <dc:creator>scienze giuridiche</dc:creator>
  <cp:keywords/>
  <dc:description/>
  <cp:lastModifiedBy>scienze giuridiche</cp:lastModifiedBy>
  <cp:revision>2</cp:revision>
  <cp:lastPrinted>2015-05-12T08:57:00Z</cp:lastPrinted>
  <dcterms:created xsi:type="dcterms:W3CDTF">2015-06-10T15:23:00Z</dcterms:created>
  <dcterms:modified xsi:type="dcterms:W3CDTF">2015-06-10T15:23:00Z</dcterms:modified>
</cp:coreProperties>
</file>